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30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30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2026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 e l’intermediazione del credito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  <w:lang w:eastAsia="it-IT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Sistema finanziario, </w:t>
      </w:r>
      <w:r>
        <w:rPr>
          <w:rFonts w:eastAsia="Calibri" w:cs="Times New Roman" w:ascii="Times New Roman" w:hAnsi="Times New Roman"/>
          <w:sz w:val="24"/>
          <w:szCs w:val="24"/>
          <w:lang w:eastAsia="it-IT"/>
        </w:rPr>
        <w:t>intermediazione del credito, intermediari bancari, finanziari e del credito, agenti in attività finanziaria e mediatori creditizi, gestione collettiva del risparmio, funzioni e rischi dell’attività bancaria, vigilanza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276" w:hanging="283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Mutui, prestiti personali, affidamenti finalizzati, leasing, factoring, cessione del quinto dello stipendio e della pensione, aperture di credito, carte di credito, deleghe di pagamento, concessione di garanzie, fintech e nuovi strumenti finanziari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sulla trasparenza bancaria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Il fabbisogno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Valutazione del merito creditizio</w:t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La disciplina antiriciclaggio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antiusura</w:t>
      </w:r>
    </w:p>
    <w:p>
      <w:pPr>
        <w:pStyle w:val="ListParagraph"/>
        <w:spacing w:lineRule="auto" w:line="240" w:before="0" w:after="0"/>
        <w:ind w:left="1701" w:hanging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servizi di pagamento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tema di intermediazione assicurativa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Registro degli intermediari, regole di comportamento, polizze D&amp;O</w:t>
      </w:r>
    </w:p>
    <w:p>
      <w:pPr>
        <w:pStyle w:val="ListParagraph"/>
        <w:spacing w:lineRule="auto" w:line="240" w:before="0" w:after="0"/>
        <w:ind w:left="1701" w:hanging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reclami e dell’Arbitro bancario e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materia di protezione dei dati personali (GDPR)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vigente in materia di tutela dei consumatori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Deontologia e correttezza professionale nei rapporti con la clientela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383</Words>
  <Characters>2187</Characters>
  <CharactersWithSpaces>2565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2025-09-19T07:13:00Z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