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45 ORE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19/14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45 ore in modalità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2023</w:t>
      </w:r>
    </w:p>
    <w:p>
      <w:pPr>
        <w:pStyle w:val="Normal"/>
        <w:spacing w:lineRule="auto" w:line="240" w:before="0" w:after="0"/>
        <w:ind w:left="1364"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Avv. C. Gugliotta, Avv. A. Sgueglia, Avv. M. Bello, Avv. T. Santoro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ListParagraph"/>
        <w:numPr>
          <w:ilvl w:val="0"/>
          <w:numId w:val="4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Il sistema finanziario e l’intermediazione del credito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  <w:lang w:eastAsia="it-IT"/>
        </w:rPr>
      </w:pPr>
      <w:r>
        <w:rPr>
          <w:rFonts w:eastAsia="Calibri" w:cs="Times New Roman" w:ascii="Times New Roman" w:hAnsi="Times New Roman"/>
          <w:sz w:val="24"/>
          <w:szCs w:val="24"/>
        </w:rPr>
        <w:t xml:space="preserve">Servizi </w:t>
      </w:r>
      <w:r>
        <w:rPr>
          <w:rFonts w:eastAsia="Calibri" w:cs="Times New Roman" w:ascii="Times New Roman" w:hAnsi="Times New Roman"/>
          <w:sz w:val="24"/>
          <w:szCs w:val="24"/>
          <w:lang w:eastAsia="it-IT"/>
        </w:rPr>
        <w:t>e attività di investimento, regole per la prestazione, gestione collettiva del mercato, mercati regolamentati e gestione del mercato, gestione accentrata degli strumenti finanziari, i soggetti operanti nel settore finanziario e la liberalizzazione del credito, regolamentazione e vigilanza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spacing w:lineRule="auto" w:line="240" w:before="0" w:after="0"/>
        <w:ind w:left="1276" w:hanging="283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Aspetti tecnici e normativi delle forme di finanziamento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Mutui, prestiti personali, affidamenti finalizzati, leasing, factoring, cessione del quinto dello stipendio e della pensione, aperture di credito, carte di credito, deleghe di pagamento, concessione di garanzie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Trasparenza e correttezza nelle relazioni con la clientela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trasparenza dei contratti bancari, Provvedimento 18 giugno 2019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Valutazione del merito creditizio</w:t>
        <w:br/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antiriciclaggio ed antiusura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jc w:val="both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Antiriciclaggio, obblighi, autorità di vigilanza e sistema punitivo, disciplina antiusura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dei servizi di pagamento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dei servizi di pagamento, PSD2, anagrafe tributaria</w:t>
      </w:r>
    </w:p>
    <w:p>
      <w:pPr>
        <w:pStyle w:val="ListParagraph"/>
        <w:spacing w:lineRule="auto" w:line="240" w:before="0" w:after="0"/>
        <w:ind w:left="1701" w:hanging="0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in tema di intermediazione assicurativa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ind w:left="1701" w:hanging="425"/>
        <w:contextualSpacing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Intermediazione assicurativa e riassicurativa, gestione dei sinistri, assicurazione rc in ambito professionale, IDD, vantaggi e svantaggi delle diverse opzioni di investimento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Disciplina dei reclami e dell’Arbitro bancario e finanziario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in materia di protezione dei dati personali (GDPR)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della responsabilità amministrativa delle persone giuridiche, delle società e delle associazioni anche prive di personalità giuridica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La disciplina vigente in materia di tutela dei consumatori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Organizzazione e funzionamento dei registri immobiliari e adempimenti relativi alla compravendita di immobili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</w:rPr>
      </w:pPr>
      <w:r>
        <w:rPr>
          <w:rFonts w:eastAsia="Calibri" w:cs="Times New Roman" w:ascii="Times New Roman" w:hAnsi="Times New Roman"/>
          <w:sz w:val="24"/>
          <w:szCs w:val="24"/>
        </w:rPr>
        <w:t>Deontologia e correttezza professionale nei rapporti con la clientela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2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171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4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15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87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5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31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03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7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47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48A4E-726D-49CB-BE9B-EABD7B1F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426</Words>
  <Characters>2433</Characters>
  <CharactersWithSpaces>2854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2023-05-11T10:30:00Z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