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45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45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2024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C. Gugliotta, Avv. A. Sgueglia, Avv. T. Santoro, Dott.ssa C. di Vico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 e l’intermediazione del credito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  <w:lang w:eastAsia="it-IT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Sistema finanziario, </w:t>
      </w:r>
      <w:r>
        <w:rPr>
          <w:rFonts w:eastAsia="Calibri" w:cs="Times New Roman" w:ascii="Times New Roman" w:hAnsi="Times New Roman"/>
          <w:sz w:val="24"/>
          <w:szCs w:val="24"/>
          <w:lang w:eastAsia="it-IT"/>
        </w:rPr>
        <w:t>vigilanza sul sistema finanziario, attività bancaria, servizi e attività di investimento, regole per la prestazione, gestione collettiva del risparmio, i mercati regolamentati, gestione del mercato, intermediazione del credito, intermediari bancari, finanziari e del credito, agenti in attività finanziaria e mediatori creditizi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276" w:hanging="283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Mutui, prestiti personali, affidamenti finalizzati, leasing, factoring, cessione del quinto dello stipendio e della pensione, aperture di credito, carte di credito, deleghe di pagamento, concessione di garanzie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sulla trasparenza bancaria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Valutazione del merito creditizio</w:t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antiriciclaggio ed antiusura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servizi di pagamento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Servizi di pagamento,</w:t>
      </w:r>
      <w:r>
        <w:rPr/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prestatore e utilizzatore dei servizi di pagamento, PSD 2</w:t>
      </w:r>
    </w:p>
    <w:p>
      <w:pPr>
        <w:pStyle w:val="ListParagraph"/>
        <w:spacing w:lineRule="auto" w:line="240" w:before="0" w:after="0"/>
        <w:ind w:left="1701" w:hanging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tema di intermediazione assicurativa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Contratto di assicurazione, esercizio dell’impresa assicurativa in Italia e all’estero – stabilimento e servizi, principali tipologie di assicurazioni, condizioni contrattuali dei prodotti di investimento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reclami e dell’Arbitro bancario e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materia di protezione dei dati personali (GDPR)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vigente in materia di tutela dei consumatori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Deontologia e correttezza professionale nei rapporti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Mifid 2, nozioni di diritto previdenziale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430</Words>
  <Characters>2456</Characters>
  <CharactersWithSpaces>2881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2023-11-27T11:16:00Z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