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45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45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2026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C. Gugliotta, Avv. A. Sgueglia, Avv. T. Santoro, Dott.ssa C. di Vico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Sistema finanziario,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vigilanza sul sistema finanziario, attività bancaria, servizi e attività di investimento, regole per la prestazione, gestione collettiva del risparmio, i mercati regolamentati, gestione del mercato, intermediazione del credito, intermediari bancari, finanziari e del credito, agenti in attività finanziaria e mediatori creditizi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sulla 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antiriciclaggio ed antiusura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Servizi di pagamento,</w:t>
      </w:r>
      <w:r>
        <w:rPr/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prestatore e utilizzatore dei servizi di pagamento, PSD 2</w:t>
      </w:r>
    </w:p>
    <w:p>
      <w:pPr>
        <w:pStyle w:val="ListParagraph"/>
        <w:spacing w:lineRule="auto" w:line="240" w:before="0" w:after="0"/>
        <w:ind w:left="1701" w:hanging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Contratto di assicurazione, esercizio dell’impresa assicurativa in Italia e all’estero – stabilimento e servizi, principali tipologie di assicurazioni, condizioni contrattuali dei prodotti di investimento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Mifid 2, nozioni di diritto previdenziale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430</Words>
  <Characters>2456</Characters>
  <CharactersWithSpaces>2881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2025-09-26T07:56:00Z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