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wmf" ContentType="image/x-wmf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ind w:left="-540" w:right="-54" w:hanging="0"/>
        <w:jc w:val="center"/>
        <w:rPr>
          <w:lang w:val="en-US" w:eastAsia="en-US"/>
        </w:rPr>
      </w:pPr>
      <w:r>
        <w:rPr>
          <w:lang w:val="en-US" w:eastAsia="en-US"/>
        </w:rPr>
        <w:t xml:space="preserve">                            </w:t>
      </w:r>
    </w:p>
    <w:p>
      <w:pPr>
        <w:pStyle w:val="Normal"/>
        <w:ind w:left="-539" w:right="-57" w:hanging="0"/>
        <w:jc w:val="center"/>
        <w:rPr>
          <w:b/>
          <w:b/>
          <w:sz w:val="40"/>
          <w:szCs w:val="40"/>
          <w:u w:val="single"/>
          <w:lang w:val="en-US" w:eastAsia="en-US"/>
        </w:rPr>
      </w:pPr>
      <w:r>
        <w:rPr>
          <w:b/>
          <w:sz w:val="40"/>
          <w:szCs w:val="40"/>
          <w:u w:val="single"/>
          <w:lang w:val="en-US" w:eastAsia="en-US"/>
        </w:rPr>
        <w:t>Attestato di Formazione</w:t>
      </w:r>
    </w:p>
    <w:p>
      <w:pPr>
        <w:pStyle w:val="Normal"/>
        <w:ind w:left="-539" w:right="-57" w:hanging="0"/>
        <w:jc w:val="center"/>
        <w:rPr>
          <w:b/>
          <w:b/>
          <w:sz w:val="16"/>
          <w:szCs w:val="40"/>
          <w:u w:val="single"/>
          <w:lang w:val="en-US" w:eastAsia="en-US"/>
        </w:rPr>
      </w:pPr>
      <w:r>
        <w:rPr>
          <w:b/>
          <w:sz w:val="16"/>
          <w:szCs w:val="40"/>
          <w:u w:val="single"/>
          <w:lang w:val="en-US" w:eastAsia="en-US"/>
        </w:rPr>
      </w:r>
    </w:p>
    <w:p>
      <w:pPr>
        <w:pStyle w:val="Normal"/>
        <w:ind w:left="-539" w:right="-57" w:hanging="0"/>
        <w:jc w:val="center"/>
        <w:rPr>
          <w:i/>
          <w:i/>
          <w:sz w:val="28"/>
          <w:szCs w:val="28"/>
          <w:lang w:val="en-US" w:eastAsia="en-US"/>
        </w:rPr>
      </w:pPr>
      <w:r>
        <w:rPr>
          <w:i/>
          <w:sz w:val="28"/>
          <w:szCs w:val="28"/>
          <w:lang w:val="en-US" w:eastAsia="en-US"/>
        </w:rPr>
        <w:t>Si certifica che</w:t>
      </w:r>
    </w:p>
    <w:p>
      <w:pPr>
        <w:pStyle w:val="Normal"/>
        <w:pBdr>
          <w:bottom w:val="single" w:sz="12" w:space="1" w:color="000000"/>
        </w:pBdr>
        <w:ind w:left="-539" w:right="-57" w:hanging="0"/>
        <w:jc w:val="center"/>
        <w:rPr>
          <w:i/>
          <w:i/>
          <w:sz w:val="56"/>
          <w:szCs w:val="72"/>
          <w:lang w:val="en-US" w:eastAsia="en-US"/>
        </w:rPr>
      </w:pPr>
      <w:r>
        <w:rPr>
          <w:i/>
          <w:iCs/>
          <w:sz w:val="56"/>
          <w:szCs w:val="72"/>
        </w:rPr>
        <w:t>Firstname Lastname</w:t>
      </w:r>
    </w:p>
    <w:p>
      <w:pPr>
        <w:pStyle w:val="Normal"/>
        <w:ind w:left="-539" w:right="-57" w:hanging="0"/>
        <w:jc w:val="center"/>
        <w:rPr>
          <w:i/>
          <w:i/>
          <w:sz w:val="20"/>
          <w:szCs w:val="72"/>
          <w:lang w:val="en-US" w:eastAsia="en-US"/>
        </w:rPr>
      </w:pPr>
      <w:r>
        <w:rPr>
          <w:i/>
          <w:sz w:val="20"/>
          <w:szCs w:val="72"/>
          <w:lang w:val="en-US" w:eastAsia="en-US"/>
        </w:rPr>
      </w:r>
    </w:p>
    <w:p>
      <w:pPr>
        <w:pStyle w:val="Normal"/>
        <w:pBdr>
          <w:bottom w:val="single" w:sz="12" w:space="1" w:color="000000"/>
        </w:pBdr>
        <w:ind w:left="-539" w:right="-57" w:hanging="0"/>
        <w:jc w:val="center"/>
        <w:rPr>
          <w:i/>
          <w:i/>
          <w:sz w:val="48"/>
          <w:szCs w:val="52"/>
          <w:lang w:val="en-US" w:eastAsia="en-US"/>
        </w:rPr>
      </w:pPr>
      <w:r>
        <w:rPr>
          <w:i/>
          <w:sz w:val="48"/>
          <w:szCs w:val="52"/>
          <w:lang w:val="en-US" w:eastAsia="en-US"/>
        </w:rPr>
        <w:t xml:space="preserve">username: </w:t>
      </w:r>
      <w:r>
        <w:rPr>
          <w:i/>
          <w:iCs/>
          <w:sz w:val="48"/>
          <w:szCs w:val="52"/>
        </w:rPr>
        <w:t>idst</w:t>
      </w:r>
    </w:p>
    <w:p>
      <w:pPr>
        <w:pStyle w:val="Normal"/>
        <w:pBdr>
          <w:bottom w:val="single" w:sz="12" w:space="1" w:color="000000"/>
        </w:pBdr>
        <w:ind w:left="-539" w:right="-57" w:hanging="0"/>
        <w:jc w:val="center"/>
        <w:rPr>
          <w:i/>
          <w:i/>
          <w:sz w:val="20"/>
          <w:szCs w:val="52"/>
          <w:lang w:val="en-US" w:eastAsia="en-US"/>
        </w:rPr>
      </w:pPr>
      <w:r>
        <w:rPr>
          <w:i/>
          <w:sz w:val="20"/>
          <w:szCs w:val="52"/>
          <w:lang w:val="en-US" w:eastAsia="en-US"/>
        </w:rPr>
      </w:r>
    </w:p>
    <w:p>
      <w:pPr>
        <w:pStyle w:val="Normal"/>
        <w:ind w:left="-539" w:right="-57" w:hanging="0"/>
        <w:jc w:val="center"/>
        <w:rPr>
          <w:i/>
          <w:i/>
          <w:sz w:val="16"/>
          <w:lang w:val="en-US" w:eastAsia="en-US"/>
        </w:rPr>
      </w:pPr>
      <w:r>
        <w:rPr>
          <w:i/>
          <w:sz w:val="16"/>
          <w:lang w:val="en-US" w:eastAsia="en-US"/>
        </w:rPr>
      </w:r>
    </w:p>
    <w:p>
      <w:pPr>
        <w:pStyle w:val="Normal"/>
        <w:ind w:right="-57" w:hanging="0"/>
        <w:jc w:val="center"/>
        <w:rPr>
          <w:i/>
          <w:i/>
          <w:sz w:val="28"/>
          <w:szCs w:val="28"/>
          <w:lang w:val="en-US" w:eastAsia="en-US"/>
        </w:rPr>
      </w:pPr>
      <w:r>
        <w:rPr>
          <w:i/>
          <w:sz w:val="28"/>
          <w:szCs w:val="28"/>
          <w:lang w:val="en-US" w:eastAsia="en-US"/>
        </w:rPr>
        <w:t>ha completato con esito positivo il corso di</w:t>
      </w:r>
    </w:p>
    <w:p>
      <w:pPr>
        <w:pStyle w:val="Normal"/>
        <w:ind w:left="-539" w:right="-57" w:hanging="0"/>
        <w:jc w:val="center"/>
        <w:rPr>
          <w:i/>
          <w:i/>
          <w:sz w:val="16"/>
          <w:szCs w:val="28"/>
          <w:lang w:val="en-US" w:eastAsia="en-US"/>
        </w:rPr>
      </w:pPr>
      <w:r>
        <w:rPr>
          <w:i/>
          <w:sz w:val="16"/>
          <w:szCs w:val="28"/>
          <w:lang w:val="en-US" w:eastAsia="en-US"/>
        </w:rPr>
      </w:r>
    </w:p>
    <w:p>
      <w:pPr>
        <w:pStyle w:val="Normal"/>
        <w:autoSpaceDE w:val="false"/>
        <w:jc w:val="center"/>
        <w:rPr/>
      </w:pPr>
      <w:r>
        <w:rPr>
          <w:rFonts w:cs="Verdana" w:ascii="Verdana" w:hAnsi="Verdana"/>
          <w:b/>
          <w:bCs/>
          <w:sz w:val="40"/>
          <w:szCs w:val="40"/>
        </w:rPr>
        <w:t xml:space="preserve">AGGIORNAMENTO PER </w:t>
      </w:r>
    </w:p>
    <w:p>
      <w:pPr>
        <w:pStyle w:val="Normal"/>
        <w:autoSpaceDE w:val="false"/>
        <w:jc w:val="center"/>
        <w:rPr/>
      </w:pPr>
      <w:r>
        <w:rPr>
          <w:rFonts w:cs="Verdana" w:ascii="Verdana" w:hAnsi="Verdana"/>
          <w:b/>
          <w:bCs/>
          <w:sz w:val="40"/>
          <w:szCs w:val="40"/>
        </w:rPr>
        <w:t xml:space="preserve">AGENTE NEI SERVIZI DI PAGAMENTO </w:t>
      </w:r>
    </w:p>
    <w:p>
      <w:pPr>
        <w:pStyle w:val="Normal"/>
        <w:ind w:left="-539" w:right="-57" w:hanging="0"/>
        <w:jc w:val="center"/>
        <w:rPr>
          <w:b/>
          <w:b/>
          <w:i/>
          <w:i/>
          <w:sz w:val="40"/>
          <w:szCs w:val="40"/>
          <w:lang w:val="en-US" w:eastAsia="en-US"/>
        </w:rPr>
      </w:pPr>
      <w:r>
        <w:rPr>
          <w:rFonts w:cs="Verdana" w:ascii="Verdana" w:hAnsi="Verdana"/>
          <w:sz w:val="40"/>
          <w:szCs w:val="40"/>
        </w:rPr>
        <w:t>ai sensi della Circolare n. 20/14 dell’OAM</w:t>
      </w:r>
    </w:p>
    <w:p>
      <w:pPr>
        <w:pStyle w:val="Normal"/>
        <w:ind w:left="-539" w:right="-57" w:hanging="0"/>
        <w:jc w:val="center"/>
        <w:rPr>
          <w:b/>
          <w:b/>
          <w:i/>
          <w:i/>
          <w:sz w:val="16"/>
          <w:szCs w:val="28"/>
          <w:lang w:val="en-US" w:eastAsia="en-US"/>
        </w:rPr>
      </w:pPr>
      <w:r>
        <w:rPr>
          <w:b/>
          <w:i/>
          <w:sz w:val="16"/>
          <w:szCs w:val="28"/>
          <w:lang w:val="en-US" w:eastAsia="en-US"/>
        </w:rPr>
      </w:r>
    </w:p>
    <w:p>
      <w:pPr>
        <w:pStyle w:val="Normal"/>
        <w:ind w:right="425" w:hanging="0"/>
        <w:jc w:val="both"/>
        <w:rPr>
          <w:sz w:val="16"/>
        </w:rPr>
      </w:pPr>
      <w:r>
        <w:rPr>
          <w:b/>
        </w:rPr>
        <w:t xml:space="preserve">Durata del corso: </w:t>
      </w:r>
      <w:r>
        <w:rPr/>
        <w:t>4 ore in modalità equivalenti (e-learning)</w:t>
      </w:r>
    </w:p>
    <w:p>
      <w:pPr>
        <w:pStyle w:val="Normal"/>
        <w:ind w:right="425" w:hanging="0"/>
        <w:rPr>
          <w:sz w:val="16"/>
        </w:rPr>
      </w:pPr>
      <w:r>
        <w:rPr>
          <w:b/>
        </w:rPr>
        <w:t xml:space="preserve">Anno di riferimento: </w:t>
      </w:r>
      <w:r>
        <w:rPr/>
        <w:t>2021</w:t>
      </w:r>
    </w:p>
    <w:p>
      <w:pPr>
        <w:pStyle w:val="Normal"/>
        <w:ind w:right="425" w:hanging="0"/>
        <w:rPr>
          <w:sz w:val="16"/>
        </w:rPr>
      </w:pPr>
      <w:r>
        <w:rPr>
          <w:sz w:val="16"/>
        </w:rPr>
      </w:r>
    </w:p>
    <w:p>
      <w:pPr>
        <w:pStyle w:val="Normal"/>
        <w:ind w:right="425" w:hanging="0"/>
        <w:rPr/>
      </w:pPr>
      <w:r>
        <w:rPr>
          <w:b/>
          <w:lang w:val="en-US" w:eastAsia="en-US"/>
        </w:rPr>
        <w:t xml:space="preserve">Argomenti trattati </w:t>
      </w:r>
      <w:r>
        <w:rPr>
          <w:i/>
        </w:rPr>
        <w:t>aggiornati alla Direttiva (UE) 2015/2366 - PSD 2, al Provvedimento Banca d’Italia 18 Giugno 2019 e alla Legge n. 157 del 19 Dicembre 2019</w:t>
      </w:r>
      <w:r>
        <w:rPr>
          <w:i/>
          <w:lang w:val="en-US" w:eastAsia="en-US"/>
        </w:rPr>
        <w:t>:</w:t>
      </w:r>
    </w:p>
    <w:p>
      <w:pPr>
        <w:pStyle w:val="Normal"/>
        <w:numPr>
          <w:ilvl w:val="0"/>
          <w:numId w:val="1"/>
        </w:numPr>
        <w:ind w:left="704" w:right="425" w:hanging="420"/>
        <w:jc w:val="both"/>
        <w:rPr>
          <w:sz w:val="20"/>
          <w:lang w:val="en-US" w:eastAsia="en-US"/>
        </w:rPr>
      </w:pPr>
      <w:r>
        <w:rPr>
          <w:sz w:val="20"/>
          <w:lang w:val="en-US" w:eastAsia="en-US"/>
        </w:rPr>
        <w:t>Aggiornamento sulla disciplina antiriciclaggio e del finanziamento del terrorismo (40%)</w:t>
      </w:r>
    </w:p>
    <w:p>
      <w:pPr>
        <w:pStyle w:val="Normal"/>
        <w:numPr>
          <w:ilvl w:val="1"/>
          <w:numId w:val="1"/>
        </w:numPr>
        <w:ind w:left="1364" w:right="425" w:hanging="360"/>
        <w:jc w:val="both"/>
        <w:rPr>
          <w:sz w:val="20"/>
          <w:lang w:val="en-US" w:eastAsia="en-US"/>
        </w:rPr>
      </w:pPr>
      <w:r>
        <w:rPr>
          <w:sz w:val="20"/>
          <w:lang w:val="en-US" w:eastAsia="en-US"/>
        </w:rPr>
        <w:t>Riciclaggio, finanziamento del terrorismo e autoriciclaggio</w:t>
      </w:r>
    </w:p>
    <w:p>
      <w:pPr>
        <w:pStyle w:val="Normal"/>
        <w:numPr>
          <w:ilvl w:val="1"/>
          <w:numId w:val="1"/>
        </w:numPr>
        <w:ind w:left="1364" w:right="425" w:hanging="360"/>
        <w:jc w:val="both"/>
        <w:rPr>
          <w:sz w:val="20"/>
          <w:lang w:val="en-US" w:eastAsia="en-US"/>
        </w:rPr>
      </w:pPr>
      <w:r>
        <w:rPr>
          <w:sz w:val="20"/>
          <w:lang w:val="en-US" w:eastAsia="en-US"/>
        </w:rPr>
        <w:t>IV Direttiva e modifiche apportate dalla V Direttiva</w:t>
      </w:r>
    </w:p>
    <w:p>
      <w:pPr>
        <w:pStyle w:val="Normal"/>
        <w:numPr>
          <w:ilvl w:val="1"/>
          <w:numId w:val="1"/>
        </w:numPr>
        <w:ind w:left="1364" w:right="425" w:hanging="360"/>
        <w:jc w:val="both"/>
        <w:rPr>
          <w:sz w:val="20"/>
          <w:lang w:val="en-US" w:eastAsia="en-US"/>
        </w:rPr>
      </w:pPr>
      <w:r>
        <w:rPr>
          <w:sz w:val="20"/>
          <w:lang w:val="en-US" w:eastAsia="en-US"/>
        </w:rPr>
        <w:t>Principali novità riguardanti le valute virtuali</w:t>
      </w:r>
    </w:p>
    <w:p>
      <w:pPr>
        <w:pStyle w:val="Normal"/>
        <w:numPr>
          <w:ilvl w:val="1"/>
          <w:numId w:val="1"/>
        </w:numPr>
        <w:ind w:left="1364" w:right="425" w:hanging="360"/>
        <w:jc w:val="both"/>
        <w:rPr>
          <w:sz w:val="20"/>
          <w:lang w:val="en-US" w:eastAsia="en-US"/>
        </w:rPr>
      </w:pPr>
      <w:r>
        <w:rPr>
          <w:sz w:val="20"/>
          <w:lang w:val="en-US" w:eastAsia="en-US"/>
        </w:rPr>
        <w:t>Nuovi limiti all’utilizzo del denaro contante</w:t>
      </w:r>
    </w:p>
    <w:p>
      <w:pPr>
        <w:pStyle w:val="Normal"/>
        <w:numPr>
          <w:ilvl w:val="0"/>
          <w:numId w:val="1"/>
        </w:numPr>
        <w:ind w:left="704" w:right="425" w:hanging="420"/>
        <w:jc w:val="both"/>
        <w:rPr>
          <w:sz w:val="20"/>
          <w:lang w:val="en-US" w:eastAsia="en-US"/>
        </w:rPr>
      </w:pPr>
      <w:r>
        <w:rPr>
          <w:sz w:val="20"/>
          <w:lang w:val="en-US" w:eastAsia="en-US"/>
        </w:rPr>
        <w:t>Aggiornamento sulla disciplina dei servizi di pagamento (30%)</w:t>
      </w:r>
    </w:p>
    <w:p>
      <w:pPr>
        <w:pStyle w:val="Normal"/>
        <w:numPr>
          <w:ilvl w:val="1"/>
          <w:numId w:val="1"/>
        </w:numPr>
        <w:ind w:left="1364" w:right="425" w:hanging="360"/>
        <w:jc w:val="both"/>
        <w:rPr>
          <w:sz w:val="20"/>
          <w:lang w:val="en-US" w:eastAsia="en-US"/>
        </w:rPr>
      </w:pPr>
      <w:r>
        <w:rPr>
          <w:sz w:val="20"/>
          <w:lang w:val="en-US" w:eastAsia="en-US"/>
        </w:rPr>
        <w:t>PSD 2</w:t>
      </w:r>
    </w:p>
    <w:p>
      <w:pPr>
        <w:pStyle w:val="Normal"/>
        <w:numPr>
          <w:ilvl w:val="1"/>
          <w:numId w:val="1"/>
        </w:numPr>
        <w:ind w:left="1364" w:right="425" w:hanging="360"/>
        <w:jc w:val="both"/>
        <w:rPr>
          <w:sz w:val="20"/>
          <w:lang w:val="en-US" w:eastAsia="en-US"/>
        </w:rPr>
      </w:pPr>
      <w:r>
        <w:rPr>
          <w:sz w:val="20"/>
          <w:lang w:val="en-US" w:eastAsia="en-US"/>
        </w:rPr>
        <w:t>La regolamentazione dei Third Party Providers (TPP), Payment Initiation Service, Account Information Service</w:t>
      </w:r>
    </w:p>
    <w:p>
      <w:pPr>
        <w:pStyle w:val="Normal"/>
        <w:numPr>
          <w:ilvl w:val="1"/>
          <w:numId w:val="1"/>
        </w:numPr>
        <w:ind w:left="1364" w:right="425" w:hanging="360"/>
        <w:jc w:val="both"/>
        <w:rPr>
          <w:sz w:val="20"/>
          <w:lang w:val="en-US" w:eastAsia="en-US"/>
        </w:rPr>
      </w:pPr>
      <w:r>
        <w:rPr>
          <w:sz w:val="20"/>
          <w:lang w:val="en-US" w:eastAsia="en-US"/>
        </w:rPr>
        <w:t>Strong Customer Authentication</w:t>
      </w:r>
    </w:p>
    <w:p>
      <w:pPr>
        <w:pStyle w:val="Normal"/>
        <w:numPr>
          <w:ilvl w:val="0"/>
          <w:numId w:val="1"/>
        </w:numPr>
        <w:ind w:left="704" w:right="425" w:hanging="420"/>
        <w:jc w:val="both"/>
        <w:rPr>
          <w:sz w:val="20"/>
          <w:lang w:val="en-US" w:eastAsia="en-US"/>
        </w:rPr>
      </w:pPr>
      <w:r>
        <w:rPr>
          <w:sz w:val="20"/>
          <w:lang w:val="en-US" w:eastAsia="en-US"/>
        </w:rPr>
        <w:t>Aggiornamento sull’anagrafe dei rapporti e indagini finanziarie di cui rispettivamente ai Provvedimenti del Direttore dell’Agenzia delle Entrate del 19 gennaio 2007 e del 22 dicembre 2005 (15%)</w:t>
      </w:r>
    </w:p>
    <w:p>
      <w:pPr>
        <w:pStyle w:val="Normal"/>
        <w:numPr>
          <w:ilvl w:val="0"/>
          <w:numId w:val="1"/>
        </w:numPr>
        <w:ind w:left="704" w:right="425" w:hanging="420"/>
        <w:jc w:val="both"/>
        <w:rPr>
          <w:sz w:val="20"/>
          <w:lang w:val="en-US" w:eastAsia="en-US"/>
        </w:rPr>
      </w:pPr>
      <w:r>
        <w:rPr>
          <w:sz w:val="20"/>
          <w:lang w:val="en-US" w:eastAsia="en-US"/>
        </w:rPr>
        <w:t>Aggiornamento sulla disciplina della trasparenza e della tutela del consumatore applicabile ai servizi di pagamento (10%)</w:t>
      </w:r>
    </w:p>
    <w:p>
      <w:pPr>
        <w:pStyle w:val="Normal"/>
        <w:numPr>
          <w:ilvl w:val="0"/>
          <w:numId w:val="1"/>
        </w:numPr>
        <w:ind w:left="704" w:right="425" w:hanging="420"/>
        <w:jc w:val="both"/>
        <w:rPr>
          <w:sz w:val="20"/>
          <w:lang w:val="en-US" w:eastAsia="en-US"/>
        </w:rPr>
      </w:pPr>
      <w:r>
        <w:rPr>
          <w:sz w:val="20"/>
          <w:lang w:val="en-US" w:eastAsia="en-US"/>
        </w:rPr>
        <w:t>Aggiornamento in tema di intermediazione finanziaria (5%)</w:t>
      </w:r>
    </w:p>
    <w:p>
      <w:pPr>
        <w:pStyle w:val="Normal"/>
        <w:numPr>
          <w:ilvl w:val="1"/>
          <w:numId w:val="1"/>
        </w:numPr>
        <w:ind w:left="1364" w:right="425" w:hanging="360"/>
        <w:jc w:val="both"/>
        <w:rPr>
          <w:sz w:val="20"/>
          <w:lang w:val="en-US" w:eastAsia="en-US"/>
        </w:rPr>
      </w:pPr>
      <w:r>
        <w:rPr>
          <w:sz w:val="20"/>
          <w:lang w:val="en-US" w:eastAsia="en-US"/>
        </w:rPr>
        <w:t>Mifid 2</w:t>
      </w:r>
    </w:p>
    <w:p>
      <w:pPr>
        <w:pStyle w:val="Normal"/>
        <w:ind w:left="284" w:right="425" w:hanging="0"/>
        <w:jc w:val="both"/>
        <w:rPr>
          <w:sz w:val="16"/>
          <w:lang w:val="en-US" w:eastAsia="en-US"/>
        </w:rPr>
      </w:pPr>
      <w:r>
        <w:rPr>
          <w:sz w:val="16"/>
          <w:lang w:val="en-US" w:eastAsia="en-US"/>
        </w:rPr>
      </w:r>
    </w:p>
    <w:p>
      <w:pPr>
        <w:pStyle w:val="Normal"/>
        <w:ind w:right="425" w:hanging="0"/>
        <w:rPr/>
      </w:pPr>
      <w:r>
        <w:rPr>
          <w:b/>
          <w:bCs/>
        </w:rPr>
        <w:t xml:space="preserve">Esito del test di verifica finale: </w:t>
      </w:r>
      <w:r>
        <w:rPr/>
        <w:t>Positivo</w:t>
      </w:r>
      <w:r>
        <w:rPr>
          <w:b/>
          <w:lang w:val="en-US" w:eastAsia="en-US"/>
        </w:rPr>
        <w:t xml:space="preserve"> </w:t>
      </w:r>
    </w:p>
    <w:p>
      <w:pPr>
        <w:pStyle w:val="Normal"/>
        <w:ind w:right="425" w:hanging="0"/>
        <w:rPr>
          <w:b/>
          <w:b/>
          <w:sz w:val="16"/>
          <w:lang w:val="en-US" w:eastAsia="en-US"/>
        </w:rPr>
      </w:pPr>
      <w:r>
        <w:rPr>
          <w:b/>
          <w:sz w:val="16"/>
          <w:lang w:val="en-US" w:eastAsia="en-US"/>
        </w:rPr>
      </w:r>
    </w:p>
    <w:p>
      <w:pPr>
        <w:pStyle w:val="Normal"/>
        <w:ind w:right="425" w:hanging="0"/>
        <w:rPr>
          <w:lang w:val="en-US" w:eastAsia="en-US"/>
        </w:rPr>
      </w:pPr>
      <w:r>
        <w:rPr>
          <w:b/>
          <w:lang w:val="en-US" w:eastAsia="en-US"/>
        </w:rPr>
        <w:t xml:space="preserve">Coordinatore scientifico dei contenuti del corso: </w:t>
      </w:r>
      <w:r>
        <w:rPr>
          <w:lang w:val="en-US" w:eastAsia="en-US"/>
        </w:rPr>
        <w:t>Prof. Avv. Giuseppe Russo</w:t>
      </w:r>
    </w:p>
    <w:p>
      <w:pPr>
        <w:pStyle w:val="Normal"/>
        <w:ind w:right="425" w:hanging="0"/>
        <w:rPr>
          <w:b/>
          <w:b/>
          <w:lang w:val="en-US" w:eastAsia="en-US"/>
        </w:rPr>
      </w:pPr>
      <w:r>
        <w:rPr>
          <w:b/>
          <w:lang w:val="en-US" w:eastAsia="en-US"/>
        </w:rPr>
        <w:t xml:space="preserve">Docenti: </w:t>
      </w:r>
      <w:r>
        <w:rPr>
          <w:lang w:val="en-US" w:eastAsia="en-US"/>
        </w:rPr>
        <w:t>Avv. C. Gugliotta – Avv. A. Sgueglia</w:t>
      </w:r>
    </w:p>
    <w:p>
      <w:pPr>
        <w:pStyle w:val="Normal"/>
        <w:ind w:left="-539" w:right="425" w:firstLine="539"/>
        <w:rPr>
          <w:b/>
          <w:b/>
          <w:sz w:val="16"/>
          <w:lang w:val="en-US" w:eastAsia="en-US"/>
        </w:rPr>
      </w:pPr>
      <w:r>
        <w:rPr>
          <w:b/>
          <w:sz w:val="16"/>
          <w:lang w:val="en-US" w:eastAsia="en-US"/>
        </w:rPr>
      </w:r>
    </w:p>
    <w:p>
      <w:pPr>
        <w:pStyle w:val="Normal"/>
        <w:ind w:left="-539" w:right="425" w:firstLine="539"/>
        <w:rPr>
          <w:sz w:val="6"/>
        </w:rPr>
      </w:pPr>
      <w:r>
        <w:rPr>
          <w:sz w:val="6"/>
        </w:rPr>
      </w:r>
    </w:p>
    <w:p>
      <w:pPr>
        <w:pStyle w:val="Normal"/>
        <w:ind w:left="-539" w:right="-57" w:firstLine="539"/>
        <w:rPr>
          <w:i/>
          <w:i/>
          <w:sz w:val="28"/>
        </w:rPr>
      </w:pPr>
      <w:r>
        <w:drawing>
          <wp:anchor behindDoc="1" distT="0" distB="0" distL="114935" distR="114935" simplePos="0" locked="0" layoutInCell="1" allowOverlap="1" relativeHeight="3">
            <wp:simplePos x="0" y="0"/>
            <wp:positionH relativeFrom="column">
              <wp:posOffset>3839210</wp:posOffset>
            </wp:positionH>
            <wp:positionV relativeFrom="paragraph">
              <wp:posOffset>92710</wp:posOffset>
            </wp:positionV>
            <wp:extent cx="3012440" cy="776605"/>
            <wp:effectExtent l="0" t="0" r="0" b="0"/>
            <wp:wrapNone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2" t="-3" r="-2" b="-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2440" cy="776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sz w:val="28"/>
        </w:rPr>
        <w:t>R</w:t>
      </w:r>
      <w:r>
        <w:rPr>
          <w:i/>
          <w:sz w:val="28"/>
        </w:rPr>
        <w:t>oma, lì DATECERT</w:t>
        <w:tab/>
        <w:tab/>
        <w:tab/>
        <w:tab/>
        <w:tab/>
        <w:tab/>
        <w:tab/>
      </w:r>
      <w:r>
        <w:rPr>
          <w:b/>
          <w:i/>
          <w:sz w:val="28"/>
          <w:szCs w:val="28"/>
          <w:lang w:val="en-US" w:eastAsia="en-US"/>
        </w:rPr>
        <w:t>Firma del Responsabile</w:t>
      </w:r>
    </w:p>
    <w:p>
      <w:pPr>
        <w:pStyle w:val="Normal"/>
        <w:ind w:left="-539" w:right="-57" w:hanging="28"/>
        <w:jc w:val="center"/>
        <w:rPr>
          <w:i/>
          <w:i/>
          <w:sz w:val="28"/>
        </w:rPr>
      </w:pPr>
      <w:r>
        <w:rPr>
          <w:i/>
          <w:sz w:val="28"/>
        </w:rPr>
      </w:r>
    </w:p>
    <w:p>
      <w:pPr>
        <w:pStyle w:val="Normal"/>
        <w:ind w:left="-539" w:right="-57" w:hanging="28"/>
        <w:jc w:val="center"/>
        <w:rPr>
          <w:i/>
          <w:i/>
          <w:sz w:val="28"/>
        </w:rPr>
      </w:pPr>
      <w:r>
        <w:rPr>
          <w:i/>
          <w:sz w:val="28"/>
        </w:rPr>
      </w:r>
    </w:p>
    <w:p>
      <w:pPr>
        <w:pStyle w:val="Normal"/>
        <w:ind w:right="425" w:hanging="0"/>
        <w:rPr/>
      </w:pPr>
      <w:r>
        <w:rPr>
          <w:b/>
          <w:i/>
          <w:sz w:val="28"/>
          <w:szCs w:val="28"/>
          <w:lang w:val="en-US" w:eastAsia="en-US"/>
        </w:rPr>
        <w:t>Firma del Partecipante</w:t>
        <w:tab/>
        <w:tab/>
        <w:tab/>
        <w:tab/>
        <w:t xml:space="preserve">Firma del titolare o legale rappresentante </w:t>
      </w:r>
    </w:p>
    <w:p>
      <w:pPr>
        <w:pStyle w:val="Normal"/>
        <w:ind w:right="-426" w:hanging="0"/>
        <w:rPr/>
      </w:pPr>
      <w:r>
        <w:rPr>
          <w:b/>
          <w:i/>
          <w:sz w:val="28"/>
          <w:szCs w:val="28"/>
          <w:lang w:val="en-US" w:eastAsia="en-US"/>
        </w:rPr>
        <w:tab/>
        <w:tab/>
        <w:tab/>
        <w:tab/>
        <w:tab/>
        <w:tab/>
        <w:t xml:space="preserve">   dell’istituto di pagamento o di moneta elettronica</w:t>
      </w:r>
    </w:p>
    <w:p>
      <w:pPr>
        <w:pStyle w:val="Normal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  <w:tab/>
        <w:tab/>
        <w:tab/>
        <w:tab/>
        <w:tab/>
        <w:tab/>
        <w:tab/>
        <w:tab/>
        <w:tab/>
        <w:tab/>
        <w:tab/>
        <w:tab/>
      </w:r>
    </w:p>
    <w:sectPr>
      <w:headerReference w:type="default" r:id="rId3"/>
      <w:footerReference w:type="default" r:id="rId4"/>
      <w:type w:val="nextPage"/>
      <w:pgSz w:w="11906" w:h="16838"/>
      <w:pgMar w:left="1134" w:right="566" w:header="708" w:top="993" w:footer="271" w:bottom="1134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  <w:font w:name="Verdana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>
        <w:b/>
        <w:b/>
        <w:i/>
        <w:i/>
        <w:sz w:val="20"/>
        <w:lang w:val="en-US"/>
      </w:rPr>
    </w:pPr>
    <w:r>
      <w:rPr>
        <w:b/>
        <w:i/>
        <w:sz w:val="20"/>
        <w:lang w:val="en-US"/>
      </w:rPr>
      <w:t>R&amp;B Consulting S.r.l.</w:t>
    </w:r>
  </w:p>
  <w:p>
    <w:pPr>
      <w:pStyle w:val="Footer"/>
      <w:jc w:val="center"/>
      <w:rPr>
        <w:i/>
        <w:i/>
        <w:sz w:val="20"/>
      </w:rPr>
    </w:pPr>
    <w:r>
      <w:rPr>
        <w:i/>
        <w:sz w:val="20"/>
      </w:rPr>
      <w:t>[sedelegale]</w:t>
    </w:r>
  </w:p>
  <w:p>
    <w:pPr>
      <w:pStyle w:val="Footer"/>
      <w:jc w:val="center"/>
      <w:rPr>
        <w:i/>
        <w:i/>
        <w:sz w:val="20"/>
        <w:lang w:val="pt-BR"/>
      </w:rPr>
    </w:pPr>
    <w:r>
      <w:rPr>
        <w:i/>
        <w:sz w:val="20"/>
        <w:lang w:val="pt-BR"/>
      </w:rPr>
      <w:t>P.I.: 05744121210 - Numero REA: RM 1289708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jc w:val="center"/>
      <w:rPr/>
    </w:pPr>
    <w:r>
      <w:rPr/>
      <w:drawing>
        <wp:inline distT="0" distB="0" distL="0" distR="0">
          <wp:extent cx="5771515" cy="750570"/>
          <wp:effectExtent l="0" t="0" r="0" b="0"/>
          <wp:docPr id="2" name="Image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7" t="-17" r="-7" b="-17"/>
                  <a:stretch>
                    <a:fillRect/>
                  </a:stretch>
                </pic:blipFill>
                <pic:spPr bwMode="auto">
                  <a:xfrm>
                    <a:off x="0" y="0"/>
                    <a:ext cx="5771515" cy="7505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lowerLetter"/>
      <w:lvlText w:val="%1)"/>
      <w:lvlJc w:val="left"/>
      <w:pPr>
        <w:tabs>
          <w:tab w:val="num" w:pos="0"/>
        </w:tabs>
        <w:ind w:left="704" w:hanging="420"/>
      </w:pPr>
      <w:rPr>
        <w:sz w:val="20"/>
        <w:lang w:val="en-US" w:eastAsia="en-US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1364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084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04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524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244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964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684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04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it-IT" w:bidi="ar-SA" w:eastAsia="zh-CN"/>
    </w:rPr>
  </w:style>
  <w:style w:type="character" w:styleId="WW8Num1z0">
    <w:name w:val="WW8Num1z0"/>
    <w:qFormat/>
    <w:rPr>
      <w:sz w:val="20"/>
      <w:lang w:val="en-US" w:eastAsia="en-US"/>
    </w:rPr>
  </w:style>
  <w:style w:type="character" w:styleId="WW8Num1z1">
    <w:name w:val="WW8Num1z1"/>
    <w:qFormat/>
    <w:rPr>
      <w:rFonts w:ascii="Symbol" w:hAnsi="Symbol" w:cs="Symbol"/>
    </w:rPr>
  </w:style>
  <w:style w:type="character" w:styleId="WW8Num1z2">
    <w:name w:val="WW8Num1z2"/>
    <w:qFormat/>
    <w:rPr/>
  </w:style>
  <w:style w:type="character" w:styleId="WW8Num1z3">
    <w:name w:val="WW8Num1z3"/>
    <w:qFormat/>
    <w:rPr/>
  </w:style>
  <w:style w:type="character" w:styleId="WW8Num1z4">
    <w:name w:val="WW8Num1z4"/>
    <w:qFormat/>
    <w:rPr/>
  </w:style>
  <w:style w:type="character" w:styleId="WW8Num1z5">
    <w:name w:val="WW8Num1z5"/>
    <w:qFormat/>
    <w:rPr/>
  </w:style>
  <w:style w:type="character" w:styleId="WW8Num1z6">
    <w:name w:val="WW8Num1z6"/>
    <w:qFormat/>
    <w:rPr/>
  </w:style>
  <w:style w:type="character" w:styleId="WW8Num1z7">
    <w:name w:val="WW8Num1z7"/>
    <w:qFormat/>
    <w:rPr/>
  </w:style>
  <w:style w:type="character" w:styleId="WW8Num1z8">
    <w:name w:val="WW8Num1z8"/>
    <w:qFormat/>
    <w:rPr/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3z0">
    <w:name w:val="WW8Num3z0"/>
    <w:qFormat/>
    <w:rPr/>
  </w:style>
  <w:style w:type="character" w:styleId="WW8Num3z1">
    <w:name w:val="WW8Num3z1"/>
    <w:qFormat/>
    <w:rPr/>
  </w:style>
  <w:style w:type="character" w:styleId="WW8Num3z2">
    <w:name w:val="WW8Num3z2"/>
    <w:qFormat/>
    <w:rPr/>
  </w:style>
  <w:style w:type="character" w:styleId="WW8Num3z3">
    <w:name w:val="WW8Num3z3"/>
    <w:qFormat/>
    <w:rPr/>
  </w:style>
  <w:style w:type="character" w:styleId="WW8Num3z4">
    <w:name w:val="WW8Num3z4"/>
    <w:qFormat/>
    <w:rPr/>
  </w:style>
  <w:style w:type="character" w:styleId="WW8Num3z5">
    <w:name w:val="WW8Num3z5"/>
    <w:qFormat/>
    <w:rPr/>
  </w:style>
  <w:style w:type="character" w:styleId="WW8Num3z6">
    <w:name w:val="WW8Num3z6"/>
    <w:qFormat/>
    <w:rPr/>
  </w:style>
  <w:style w:type="character" w:styleId="WW8Num3z7">
    <w:name w:val="WW8Num3z7"/>
    <w:qFormat/>
    <w:rPr/>
  </w:style>
  <w:style w:type="character" w:styleId="WW8Num3z8">
    <w:name w:val="WW8Num3z8"/>
    <w:qFormat/>
    <w:rPr/>
  </w:style>
  <w:style w:type="character" w:styleId="Carpredefinitoparagrafo">
    <w:name w:val="Car. predefinito paragrafo"/>
    <w:qFormat/>
    <w:rPr/>
  </w:style>
  <w:style w:type="character" w:styleId="PidipaginaCarattere">
    <w:name w:val="Piè di pagina Carattere"/>
    <w:qFormat/>
    <w:rPr>
      <w:sz w:val="24"/>
      <w:szCs w:val="24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819" w:leader="none"/>
        <w:tab w:val="right" w:pos="9638" w:leader="none"/>
      </w:tabs>
    </w:pPr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2.wmf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332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2009-11-19T13:55:00Z</dcterms:created>
  <dc:creator>A</dc:creator>
  <dc:description/>
  <cp:keywords/>
  <dc:language>en-US</dc:language>
  <cp:lastModifiedBy>utente</cp:lastModifiedBy>
  <cp:lastPrinted>2012-09-27T17:20:00Z</cp:lastPrinted>
  <dcterms:modified xsi:type="dcterms:W3CDTF">2021-01-21T12:51:00Z</dcterms:modified>
  <cp:revision>55</cp:revision>
  <dc:subject/>
  <dc:title>                                </dc:title>
</cp:coreProperties>
</file>