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b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4 ore in modalità equivalenti (e-learning)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2025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425" w:hanging="295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antiriciclaggio e del finanziamento del terrorismo (40%)</w:t>
      </w:r>
    </w:p>
    <w:p>
      <w:pPr>
        <w:pStyle w:val="Normal"/>
        <w:numPr>
          <w:ilvl w:val="1"/>
          <w:numId w:val="4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Le Direttiva antiriciclaggio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Pacchetto di riforma: AML Package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425" w:hanging="284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dei servizi di pagamento (30%)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PSD 2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TPP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Payment Initiation Service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Account Information Service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Strong Customer Authentication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sull’anagrafe dei rapporti e indagini finanziarie di cui rispettivamente ai Provvedimenti del Direttore dell’Agenzia delle Entrate del 19 gennaio 2007 e del 22 dicembre 2005 (15%)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sulla disciplina della trasparenza e della tutela del consumatore applicabile ai servizi di pagamento (10%)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Aggiornamento in tema di intermediazione finanziaria (5%)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Il sistema finanziario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4732020</wp:posOffset>
            </wp:positionH>
            <wp:positionV relativeFrom="paragraph">
              <wp:posOffset>157480</wp:posOffset>
            </wp:positionV>
            <wp:extent cx="1583055" cy="87312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Responsabile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                                     Firma del titolare o legale rappresentante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                       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dell’IP o dell’IMEL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04" w:hanging="42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364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CB5CE-43D4-417D-952D-52E3B625F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241</Words>
  <Characters>1380</Characters>
  <CharactersWithSpaces>1618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2024-11-04T10:40:00Z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