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AGENTE NEI SERVIZI DI PAGAMENTO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20/14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b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4 ore in modalità equivalenti (e-learning)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2026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right="425" w:hanging="295"/>
        <w:contextualSpacing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antiriciclaggio e del finanziamento del terrorismo (40%)</w:t>
      </w:r>
    </w:p>
    <w:p>
      <w:pPr>
        <w:pStyle w:val="Normal"/>
        <w:numPr>
          <w:ilvl w:val="1"/>
          <w:numId w:val="4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Antiriciclaggio e antiterrorismo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right="425" w:hanging="284"/>
        <w:contextualSpacing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dei servizi di pagamento (30%)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Disciplina dei servizi di pagamento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Obblighi del prestatore e dell’utilizzatore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sull’anagrafe dei rapporti e indagini finanziarie di cui rispettivamente ai Provvedimenti del Direttore dell’Agenzia delle Entrate del 19 gennaio 2007 e del 22 dicembre 2005 (15%)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della trasparenza e della tutela del consumatore applicabile ai servizi di pagamento (10%)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in tema di intermediazione finanziaria (5%)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Il sistema finanziario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M. Bello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4732020</wp:posOffset>
            </wp:positionH>
            <wp:positionV relativeFrom="paragraph">
              <wp:posOffset>157480</wp:posOffset>
            </wp:positionV>
            <wp:extent cx="1583055" cy="87312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Responsabile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                                     Firma del titolare o legale rappresentante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                       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dell’IP o dell’IMEL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04" w:hanging="42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364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CB5CE-43D4-417D-952D-52E3B625F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237</Words>
  <Characters>1353</Characters>
  <CharactersWithSpaces>1587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2025-07-30T09:32:00Z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