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  <w:lang w:val="en-US"/>
        </w:rPr>
      </w:pPr>
      <w:r>
        <w:rPr>
          <w:rFonts w:cs="Times New Roman" w:ascii="Times New Roman" w:hAnsi="Times New Roman"/>
          <w:i/>
          <w:iCs/>
          <w:sz w:val="44"/>
          <w:szCs w:val="44"/>
          <w:lang w:val="en-US"/>
        </w:rPr>
        <w:t xml:space="preserve">CF: </w:t>
      </w:r>
      <w:r>
        <w:rPr>
          <w:rFonts w:cs="Times New Roman" w:ascii="Times New Roman" w:hAnsi="Times New Roman"/>
          <w:i/>
          <w:iCs/>
          <w:sz w:val="44"/>
          <w:szCs w:val="44"/>
        </w:rPr>
        <w:t>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PER LA PROVA VALUTATIVA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DIPENDENTI E COLLABORATORI 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 xml:space="preserve">ai sensi dell’art.14 del D.Lgs. 13 Agosto 2010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n. 141 e delle Circolari n. 19/14 e 22/15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10 ore in modalità e-learning e 2 ore di formazione a distanza in autonomia</w:t>
      </w:r>
    </w:p>
    <w:p>
      <w:pPr>
        <w:pStyle w:val="Normal"/>
        <w:spacing w:lineRule="auto" w:line="240" w:before="0" w:after="0"/>
        <w:ind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Roma, lì DATECERT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tabs>
          <w:tab w:val="clear" w:pos="708"/>
          <w:tab w:val="center" w:pos="5102" w:leader="none"/>
        </w:tabs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istituzionale preposto alla regolazione e al controllo del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Agenti in attività finanziaria e mediatori creditizi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Novità introdotte da Mifid 2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Doveri dell’intermediario finanziario, violazione degli obblighi di informazione, responsabilità delle parti, obblighi di correttezza del cliente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Rischio di credito, stima della perdita attesa, responsible lending, violazione dell’obbligo di valutazione del merito creditizio, responsabilità del finanziatore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Pacchetto di riforma: AML Package, disciplina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Novità apportate dalla PSD 2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in tema di intermediazione assicurativa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Direttiva IDD – Distribuzione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45935-2926-4BE4-883C-7E55B1DCF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357</Words>
  <Characters>2036</Characters>
  <CharactersWithSpaces>2389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2023-01-25T09:40:00Z</cp:lastPrinted>
  <dcterms:modified xsi:type="dcterms:W3CDTF">2024-11-04T11:25:00Z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