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PRIMA FORMAZIONE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8 ore in modalità e-learning e 2 ore di formazione a distanza in autonomia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antiriciclaggio e del finanziamento del terrorismo applicabile ai servizi di pagamento (40%)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Riciclaggio,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V Direttiva, Strumenti per la lotta al riciclaggio e al finanziamento del terrorismo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Attività di money transfer e i rischi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Adempimenti antiriciclaggio, Titolare effettivo e D.M. 11 marzo 2022 n. 55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della disciplina dei servizi di pagamento (30%)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PSD2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PISP e AISP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Strong Customer Authentication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Istituti di pagamento, Agenti di pagamento e IMEL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Strumenti di pagamento digitali, Mobile payment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Prestatore ed utilizzatore dei servizi di pagamento, Obblighi del prestatore e dell’utilizzatore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La disciplina della trasparenza e della tutela del consumatore applicabile ai servizi di pagamento (10%)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Direttiva sulla trasparenza, Direttiva PAD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Principi generali in tema di intermediazione finanziaria (5%)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851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Disciplina degli intermediari finanziari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Risultato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txtvoto/200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5014595</wp:posOffset>
            </wp:positionH>
            <wp:positionV relativeFrom="paragraph">
              <wp:posOffset>133985</wp:posOffset>
            </wp:positionV>
            <wp:extent cx="1310640" cy="72517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D</w:t>
      </w:r>
      <w:r>
        <w:rPr>
          <w:rFonts w:cs="Times New Roman" w:ascii="Times New Roman" w:hAnsi="Times New Roman"/>
          <w:b/>
          <w:bCs/>
          <w:sz w:val="24"/>
          <w:szCs w:val="24"/>
        </w:rPr>
        <w:t>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M. Bello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Responsabile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Firma del titolare o legale rappresentante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                                   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dell’IP o dell’IMEL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299</Words>
  <Characters>1707</Characters>
  <CharactersWithSpaces>2002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2023-05-11T10:06:00Z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