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Whistleblowing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30 minuti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Whistleblowing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Ambito soggettivo e oggettivo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Informazioni sulle violazioni e segnalazioni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Segnalazione interna ed esterna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Divulgazione pubblica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Strumenti di tutela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Apparato sanzionatorio</w:t>
      </w:r>
    </w:p>
    <w:p>
      <w:pPr>
        <w:pStyle w:val="ListParagraph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Docente:</w:t>
      </w:r>
      <w:r>
        <w:rPr>
          <w:rFonts w:cs="Times New Roman" w:ascii="Times New Roman" w:hAnsi="Times New Roman"/>
          <w:sz w:val="24"/>
          <w:szCs w:val="24"/>
        </w:rPr>
        <w:t xml:space="preserve">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4"/>
      <w:footerReference w:type="default" r:id="rId5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3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108</Words>
  <Characters>621</Characters>
  <CharactersWithSpaces>728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2024-01-19T10:35:00Z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