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Corso Sicurezza Informatica (6h)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*Rif. Lettera al mercato dell’IVASS del 29/12/2017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La regolamentazione cyber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Regolamentazione cyber nel mondo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GDPR, NIS e NIS 2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cyber crime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Costo globale del crimine informatico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Financial cybercrime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Cyber attack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Phishing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Formjacking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Cryptojacking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Ransomware</w:t>
      </w:r>
    </w:p>
    <w:p>
      <w:pPr>
        <w:pStyle w:val="Normal"/>
        <w:numPr>
          <w:ilvl w:val="0"/>
          <w:numId w:val="3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Man in the middle attack</w:t>
      </w:r>
    </w:p>
    <w:p>
      <w:pPr>
        <w:pStyle w:val="Normal"/>
        <w:numPr>
          <w:ilvl w:val="0"/>
          <w:numId w:val="0"/>
        </w:numPr>
        <w:spacing w:lineRule="auto" w:line="276" w:before="0" w:after="0"/>
        <w:ind w:left="2007" w:hanging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Le imprese e la sicurezza informatica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Necessità di investire in sicurezza informatica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Sviluppo della gestione del rischio informatico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Dati da proteggere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Le vulnerabilità più rischiose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Ottimizzare la sicurezza informatica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Funzione di sicurezza delle informazioni</w:t>
      </w:r>
    </w:p>
    <w:p>
      <w:pPr>
        <w:pStyle w:val="Normal"/>
        <w:numPr>
          <w:ilvl w:val="0"/>
          <w:numId w:val="4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Supervisione strategica</w:t>
      </w:r>
    </w:p>
    <w:p>
      <w:pPr>
        <w:pStyle w:val="Normal"/>
        <w:numPr>
          <w:ilvl w:val="0"/>
          <w:numId w:val="0"/>
        </w:numPr>
        <w:spacing w:lineRule="auto" w:line="276" w:before="0" w:after="0"/>
        <w:ind w:left="2007" w:hanging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 diversi approcci al 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Traditional 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Financial rsk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Project 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Control 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Enterprise Risk Management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Risk policy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Identificazione degli obiettivi e del Risk Appetite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Risk Assessment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Check o Prompt List, Self assessment, Brainstorming, Analisi Swot, FMEA e FTA, Hazop e Haccp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Risk Register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Valutazione dei rischi</w:t>
      </w:r>
    </w:p>
    <w:p>
      <w:pPr>
        <w:pStyle w:val="Normal"/>
        <w:numPr>
          <w:ilvl w:val="0"/>
          <w:numId w:val="5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Struttura organizzativa dell’ERM</w:t>
      </w:r>
    </w:p>
    <w:p>
      <w:pPr>
        <w:pStyle w:val="Normal"/>
        <w:numPr>
          <w:ilvl w:val="0"/>
          <w:numId w:val="0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Cyber insurance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Copertura di prima parte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Copertura di terze parti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Copertura delle richieste di risarcimento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Garanzie accessorie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Costruzione del modello del cyber security risk</w:t>
      </w:r>
    </w:p>
    <w:p>
      <w:pPr>
        <w:pStyle w:val="Normal"/>
        <w:numPr>
          <w:ilvl w:val="0"/>
          <w:numId w:val="6"/>
        </w:numPr>
        <w:spacing w:lineRule="auto" w:line="276" w:before="0" w:after="0"/>
        <w:ind w:left="1985" w:hanging="284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Modello copula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1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183</Words>
  <Characters>1044</Characters>
  <CharactersWithSpaces>1225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2023-05-11T10:12:00Z</dcterms:modified>
  <cp:revision>16</cp:revision>
  <dc:subject/>
  <dc:title>Indice corso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