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12"/>
          <w:szCs w:val="72"/>
          <w:lang w:val="en-US" w:eastAsia="en-US"/>
        </w:rPr>
      </w:pPr>
      <w:r>
        <w:rPr>
          <w:i/>
          <w:sz w:val="12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8"/>
          <w:lang w:val="en-US" w:eastAsia="en-US"/>
        </w:rPr>
      </w:pPr>
      <w:r>
        <w:rPr>
          <w:i/>
          <w:sz w:val="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8"/>
          <w:szCs w:val="28"/>
          <w:lang w:val="en-US" w:eastAsia="en-US"/>
        </w:rPr>
      </w:pPr>
      <w:r>
        <w:rPr>
          <w:i/>
          <w:sz w:val="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DI AGGIORNAMENTO PROFESSIONALE ANNUALE OBBLIGATORIO IVASS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per gli intermediari assicurativi a titolo accessorio iscritti nella sezione E del Registro e i relativi addetti all'attività di distribuzione all'interno dei locali,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15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n. 58 del 2017 e al Regolamento IVASS n. 40 del 2018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Docente:</w:t>
      </w:r>
      <w:r>
        <w:rPr>
          <w:lang w:val="en-US" w:eastAsia="en-US"/>
        </w:rPr>
        <w:t xml:space="preserve"> Avv. C. Gugliotta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15 ore di aggiornamento con modalità di e-learning sulla piattaforma didattica di R&amp;B Consulting Srl, ha svolto il test di verifica finale relativo al corso di aggiornamento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  <w:r>
        <w:br w:type="page"/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aggiornato al D.Lgs. n. 74 del 2015, alla Direttiva 2016/97/UE (IDD), 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UE 2016/679 (GDPR), al Provvedimento n. 58 del 2017 e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al Regolamento IVASS n. 40 del 2018</w:t>
      </w:r>
    </w:p>
    <w:p>
      <w:pPr>
        <w:pStyle w:val="Normal"/>
        <w:spacing w:lineRule="auto" w:line="276"/>
        <w:ind w:right="283" w:hanging="0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1. Area contrattuale e prodotti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Valutazione delle esigenze dei consumatori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2. Area giuridica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Norme che disciplinano la distribuzione dei prodotti assicurativi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Intermediazione assicurativa e riassicurativa - condizioni di accesso e di esercizio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Regole generali di comportamento e gestione dei conflitti di interesse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Norme in materia di protezione e tutela del consumatore e Codice del consumo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Antiriciclaggio e contrasto al finanziamento del terrorismo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Psd 2 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Normativa in materia di protezione dei dati personali 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3. Area tecnica assicurativa e riassicurativa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/>
      </w:pPr>
      <w:r>
        <w:rPr>
          <w:szCs w:val="28"/>
          <w:lang w:val="en-US" w:eastAsia="en-US"/>
        </w:rPr>
        <w:t xml:space="preserve">Classificazione per rami di attività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4. Area amministrativa e gestionale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Programmazione, analisi e controllo di gestione dell’intermediario assicurativo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5. Area informatica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/>
      </w:pPr>
      <w:r>
        <w:rPr>
          <w:szCs w:val="28"/>
          <w:lang w:val="en-US" w:eastAsia="en-US"/>
        </w:rPr>
        <w:t>Sicurezza informatica e protezione dei dati (durata 6h)</w:t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39"/>
      <w:numFmt w:val="bullet"/>
      <w:lvlText w:val="-"/>
      <w:lvlJc w:val="left"/>
      <w:pPr>
        <w:tabs>
          <w:tab w:val="num" w:pos="0"/>
        </w:tabs>
        <w:ind w:left="780" w:hanging="360"/>
      </w:pPr>
      <w:rPr>
        <w:rFonts w:ascii="Times New Roman" w:hAnsi="Times New Roman" w:cs="Times New Roman" w:hint="default"/>
      </w:rPr>
    </w:lvl>
  </w:abstractNum>
  <w:abstractNum w:abstractNumId="4">
    <w:lvl w:ilvl="0">
      <w:start w:val="139"/>
      <w:numFmt w:val="bullet"/>
      <w:lvlText w:val="-"/>
      <w:lvlJc w:val="left"/>
      <w:pPr>
        <w:tabs>
          <w:tab w:val="num" w:pos="0"/>
        </w:tabs>
        <w:ind w:left="780" w:hanging="36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Times New Roman" w:hAnsi="Times New Roman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Calibri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Calibri" w:cs="Times New Roman"/>
      <w:szCs w:val="28"/>
      <w:lang w:val="en-US" w:eastAsia="en-U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Calibri" w:cs="Times New Roman"/>
      <w:szCs w:val="28"/>
      <w:lang w:val="en-US" w:eastAsia="en-U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lang w:val="en-US" w:eastAsia="en-US"/>
    </w:rPr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2018-02-15T14:08:00Z</dcterms:created>
  <dc:creator>A</dc:creator>
  <dc:description/>
  <cp:keywords/>
  <dc:language>en-US</dc:language>
  <cp:lastModifiedBy>utente</cp:lastModifiedBy>
  <cp:lastPrinted>2010-10-29T13:21:00Z</cp:lastPrinted>
  <dcterms:modified xsi:type="dcterms:W3CDTF">2019-03-06T15:14:00Z</dcterms:modified>
  <cp:revision>9</cp:revision>
  <dc:subject/>
  <dc:title>                                </dc:title>
</cp:coreProperties>
</file>