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12"/>
          <w:szCs w:val="72"/>
          <w:lang w:val="en-US" w:eastAsia="en-US"/>
        </w:rPr>
      </w:pPr>
      <w:r>
        <w:rPr>
          <w:i/>
          <w:sz w:val="12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8"/>
          <w:lang w:val="en-US" w:eastAsia="en-US"/>
        </w:rPr>
      </w:pPr>
      <w:r>
        <w:rPr>
          <w:i/>
          <w:sz w:val="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8"/>
          <w:szCs w:val="28"/>
          <w:lang w:val="en-US" w:eastAsia="en-US"/>
        </w:rPr>
      </w:pPr>
      <w:r>
        <w:rPr>
          <w:i/>
          <w:sz w:val="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DI AGGIORNAMENTO PROFESSIONALE ANNUALE OBBLIGATORIO IVASS</w:t>
        <w:br/>
      </w:r>
      <w:r>
        <w:rPr>
          <w:rFonts w:cs="Verdana" w:ascii="Verdana" w:hAnsi="Verdana"/>
          <w:sz w:val="40"/>
          <w:szCs w:val="40"/>
        </w:rPr>
        <w:t>ai sensi del Regolamento IVASS n. 40/2018</w:t>
      </w:r>
    </w:p>
    <w:p>
      <w:pPr>
        <w:pStyle w:val="Normal"/>
        <w:numPr>
          <w:ilvl w:val="0"/>
          <w:numId w:val="3"/>
        </w:numPr>
        <w:ind w:left="426" w:right="-57" w:hanging="284"/>
        <w:rPr/>
      </w:pPr>
      <w:r>
        <w:rPr>
          <w:rFonts w:cs="Verdana" w:ascii="Verdana" w:hAnsi="Verdana"/>
          <w:szCs w:val="40"/>
        </w:rPr>
        <w:t>per gli intermediari assicurativi a titolo accessorio iscritti nella sezione E del Registro e i relativi addetti all'attività di distribuzione all'interno dei locali;</w:t>
      </w:r>
    </w:p>
    <w:p>
      <w:pPr>
        <w:pStyle w:val="Normal"/>
        <w:numPr>
          <w:ilvl w:val="0"/>
          <w:numId w:val="3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cs="Verdana" w:ascii="Verdana" w:hAnsi="Verdana"/>
          <w:szCs w:val="40"/>
        </w:rPr>
        <w:t>per i soggetti sospesi;</w:t>
      </w:r>
    </w:p>
    <w:p>
      <w:pPr>
        <w:pStyle w:val="Normal"/>
        <w:numPr>
          <w:ilvl w:val="0"/>
          <w:numId w:val="3"/>
        </w:numPr>
        <w:ind w:left="426" w:right="-57" w:hanging="284"/>
        <w:rPr>
          <w:rFonts w:ascii="Verdana" w:hAnsi="Verdana" w:cs="Verdana"/>
          <w:szCs w:val="40"/>
        </w:rPr>
      </w:pPr>
      <w:r>
        <w:rPr>
          <w:rFonts w:cs="Verdana" w:ascii="Verdana" w:hAnsi="Verdana"/>
          <w:szCs w:val="40"/>
        </w:rPr>
        <w:t>per i soggetti che richiedono la reiscrizione entro i 5 anni dalla cancellazione.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15 ore in modalità di e-learning</w:t>
      </w:r>
    </w:p>
    <w:p>
      <w:pPr>
        <w:pStyle w:val="Normal"/>
        <w:ind w:right="425" w:hanging="0"/>
        <w:rPr/>
      </w:pPr>
      <w:r>
        <w:rPr/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2017, al Regolamento IVASS n. 40 del 2018</w:t>
      </w:r>
      <w:r>
        <w:rPr/>
        <w:t xml:space="preserve"> </w:t>
      </w:r>
      <w:r>
        <w:rPr>
          <w:i/>
          <w:lang w:val="en-US" w:eastAsia="en-US"/>
        </w:rPr>
        <w:t>e al Regolamento IVASS n. 44 del 2019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Verbale delle procedure del test di verifica</w:t>
      </w:r>
    </w:p>
    <w:p>
      <w:pPr>
        <w:pStyle w:val="Normal"/>
        <w:ind w:right="283" w:hanging="0"/>
        <w:rPr>
          <w:lang w:val="en-US" w:eastAsia="en-US"/>
        </w:rPr>
      </w:pPr>
      <w:r>
        <w:rPr>
          <w:lang w:val="en-US" w:eastAsia="en-US"/>
        </w:rPr>
        <w:t xml:space="preserve">                     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 xml:space="preserve">Il giorno [DATECOMPLETE] alle ore [ORA] il candidato </w:t>
      </w:r>
      <w:bookmarkStart w:id="3" w:name="OLE_LINK5"/>
      <w:bookmarkStart w:id="4" w:name="OLE_LINK4"/>
      <w:r>
        <w:rPr>
          <w:sz w:val="26"/>
          <w:szCs w:val="26"/>
          <w:lang w:val="en-US" w:eastAsia="en-US"/>
        </w:rPr>
        <w:t>Firstname Lastname</w:t>
      </w:r>
      <w:r>
        <w:rPr>
          <w:sz w:val="26"/>
          <w:szCs w:val="26"/>
        </w:rPr>
        <w:t xml:space="preserve"> </w:t>
      </w:r>
      <w:bookmarkEnd w:id="3"/>
      <w:bookmarkEnd w:id="4"/>
      <w:r>
        <w:rPr>
          <w:sz w:val="26"/>
          <w:szCs w:val="20"/>
        </w:rPr>
        <w:t xml:space="preserve">CF [CF], frequentate le 15 ore di aggiornamento con modalità di e-learning sulla piattaforma didattica di R&amp;B Consulting Srl, ha svolto il test di verifica finale relativo al corso di aggiornamento ai fini IVASS.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corso fornito da R&amp;B Consulting Srl, con sede legale in via Crescenzio, 25 - 00193 Roma (RM), PI 05744121210, è rispondente ai dettati normativi contenuti nel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/>
        <w:ind w:right="283" w:hanging="0"/>
        <w:jc w:val="both"/>
        <w:rPr/>
      </w:pPr>
      <w:r>
        <w:rPr>
          <w:sz w:val="26"/>
          <w:szCs w:val="20"/>
        </w:rPr>
        <w:t>Il candidato ha superato il test con votazione [VOTO] e la Segreteria Didattica di R&amp;B Consulting ha provveduto a rilasciare l’attestato in formato digitale ai sensi dell’art. 90 del Regolamento IVASS n. 40/2018.</w:t>
      </w:r>
    </w:p>
    <w:p>
      <w:pPr>
        <w:pStyle w:val="Normal"/>
        <w:spacing w:lineRule="auto" w:line="360"/>
        <w:ind w:right="283" w:hanging="0"/>
        <w:jc w:val="both"/>
        <w:rPr>
          <w:sz w:val="26"/>
          <w:szCs w:val="20"/>
        </w:rPr>
      </w:pPr>
      <w:r>
        <w:rPr>
          <w:sz w:val="26"/>
          <w:szCs w:val="20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3360420</wp:posOffset>
            </wp:positionH>
            <wp:positionV relativeFrom="paragraph">
              <wp:posOffset>102870</wp:posOffset>
            </wp:positionV>
            <wp:extent cx="3012440" cy="776605"/>
            <wp:effectExtent l="0" t="0" r="0" b="0"/>
            <wp:wrapNone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0"/>
        </w:rPr>
        <w:t>L</w:t>
      </w:r>
      <w:r>
        <w:rPr>
          <w:sz w:val="26"/>
          <w:szCs w:val="20"/>
        </w:rPr>
        <w:t>ì [TODAY], Roma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  <w:t xml:space="preserve">                        </w:t>
      </w:r>
      <w:r>
        <w:rPr>
          <w:i/>
          <w:sz w:val="28"/>
          <w:szCs w:val="28"/>
          <w:lang w:val="en-US" w:eastAsia="en-US"/>
        </w:rPr>
        <w:t>Giuseppe Russo</w:t>
      </w:r>
      <w:r>
        <w:rPr>
          <w:b/>
          <w:i/>
          <w:sz w:val="28"/>
          <w:szCs w:val="28"/>
          <w:lang w:val="en-US" w:eastAsia="en-US"/>
        </w:rPr>
        <w:tab/>
        <w:tab/>
        <w:tab/>
        <w:tab/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 D.Lgs. n. 74 del 2015, alla Direttiva 2016/97/UE (IDD),  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al Regolamento UE 2016/679 (GDPR), al Provvedimento n. 58 del 2017,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40 del 2018</w:t>
      </w:r>
      <w:r>
        <w:rPr/>
        <w:t xml:space="preserve"> </w:t>
      </w:r>
      <w:r>
        <w:rPr>
          <w:i/>
          <w:szCs w:val="26"/>
          <w:lang w:val="en-US" w:eastAsia="en-US"/>
        </w:rPr>
        <w:t>e al Regolamento IVASS n. 44 del 2019</w:t>
      </w:r>
    </w:p>
    <w:p>
      <w:pPr>
        <w:pStyle w:val="Normal"/>
        <w:spacing w:lineRule="auto" w:line="276"/>
        <w:ind w:right="283" w:hanging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Area contrattuale e prodotti</w:t>
      </w:r>
    </w:p>
    <w:p>
      <w:pPr>
        <w:pStyle w:val="Normal"/>
        <w:numPr>
          <w:ilvl w:val="0"/>
          <w:numId w:val="4"/>
        </w:numPr>
        <w:spacing w:lineRule="auto" w:line="276"/>
        <w:ind w:left="1701" w:right="708" w:hanging="283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4"/>
        </w:numPr>
        <w:spacing w:lineRule="auto" w:line="276"/>
        <w:ind w:left="1701" w:right="708" w:hanging="283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Valutazione dei rischi finanziari sostenuti dagli assicurati</w:t>
      </w:r>
    </w:p>
    <w:p>
      <w:pPr>
        <w:pStyle w:val="Normal"/>
        <w:spacing w:lineRule="auto" w:line="276"/>
        <w:ind w:right="708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Area giuridica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Conoscenza degli standard di etica professionale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Antiriciclaggio e contrasto al finanziamento del terrorismo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Intermediazione del credito</w:t>
      </w:r>
    </w:p>
    <w:p>
      <w:pPr>
        <w:pStyle w:val="Normal"/>
        <w:numPr>
          <w:ilvl w:val="0"/>
          <w:numId w:val="5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Normativa in materia di protezione dei dati personali </w:t>
      </w:r>
    </w:p>
    <w:p>
      <w:pPr>
        <w:pStyle w:val="Normal"/>
        <w:spacing w:lineRule="auto" w:line="276"/>
        <w:ind w:right="708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Area tecnica assicurativa e riassicurativa</w:t>
      </w:r>
    </w:p>
    <w:p>
      <w:pPr>
        <w:pStyle w:val="Normal"/>
        <w:numPr>
          <w:ilvl w:val="0"/>
          <w:numId w:val="2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Principali tipologie di coperture assicurative</w:t>
      </w:r>
    </w:p>
    <w:p>
      <w:pPr>
        <w:pStyle w:val="Normal"/>
        <w:spacing w:lineRule="auto" w:line="276"/>
        <w:ind w:right="708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Gestione dei rapporti con il cliente</w:t>
      </w:r>
    </w:p>
    <w:p>
      <w:pPr>
        <w:pStyle w:val="Normal"/>
        <w:spacing w:lineRule="auto" w:line="276"/>
        <w:ind w:right="708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</w:r>
    </w:p>
    <w:p>
      <w:pPr>
        <w:pStyle w:val="Normal"/>
        <w:numPr>
          <w:ilvl w:val="0"/>
          <w:numId w:val="1"/>
        </w:numPr>
        <w:spacing w:lineRule="auto" w:line="276"/>
        <w:ind w:left="1287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Area informatica</w:t>
      </w:r>
    </w:p>
    <w:p>
      <w:pPr>
        <w:pStyle w:val="Normal"/>
        <w:numPr>
          <w:ilvl w:val="0"/>
          <w:numId w:val="7"/>
        </w:numPr>
        <w:spacing w:lineRule="auto" w:line="276"/>
        <w:ind w:left="1776" w:right="708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Sicurezza informatica e protezione dei dati (durata 6h)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ani">
    <w:altName w:val="Bahnschrift Light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607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1776" w:hanging="360"/>
      </w:pPr>
      <w:rPr>
        <w:rFonts w:ascii="Vani" w:hAnsi="Vani" w:cs="Vani" w:hint="default"/>
      </w:rPr>
    </w:lvl>
  </w:abstractNum>
  <w:abstractNum w:abstractNumId="8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Times New Roman" w:hAnsi="Times New Roman" w:eastAsia="Calibri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Vani;Bahnschrift Light" w:hAnsi="Vani;Bahnschrift Light" w:cs="Vani;Bahnschrift Light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  <w:szCs w:val="40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Vani;Bahnschrift Light" w:hAnsi="Vani;Bahnschrift Light" w:cs="Vani;Bahnschrift Light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eastAsia="Calibri" w:cs="Times New Roman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Vani;Bahnschrift Light" w:hAnsi="Vani;Bahnschrift Light" w:cs="Vani;Bahnschrift Light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Vani;Bahnschrift Light" w:hAnsi="Vani;Bahnschrift Light" w:cs="Vani;Bahnschrift Light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Vani;Bahnschrift Light" w:hAnsi="Vani;Bahnschrift Light" w:cs="Vani;Bahnschrift Light"/>
      <w:sz w:val="22"/>
      <w:szCs w:val="28"/>
      <w:lang w:val="en-US" w:eastAsia="en-U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lang w:val="en-US" w:eastAsia="en-US"/>
    </w:rPr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utente</cp:lastModifiedBy>
  <cp:lastPrinted>2010-10-29T13:21:00Z</cp:lastPrinted>
  <dcterms:modified xsi:type="dcterms:W3CDTF">2020-05-26T10:53:00Z</dcterms:modified>
  <cp:revision>14</cp:revision>
  <dc:subject/>
  <dc:title>                                </dc:title>
</cp:coreProperties>
</file>