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Regolamento IVASS n. 40 del 2 agosto 2018 e s.m.i.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Aggiornamento Professionale IVASS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30 ORE (ed. 2024)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30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i requisiti dei soggetti formatori per l’aggiornamento professionale come da </w:t>
      </w:r>
      <w:r>
        <w:rPr>
          <w:rFonts w:cs="Arial" w:ascii="Arial" w:hAnsi="Arial"/>
          <w:b/>
          <w:color w:val="C00000"/>
          <w:sz w:val="18"/>
          <w:szCs w:val="18"/>
        </w:rPr>
        <w:t xml:space="preserve">Regolamento IVASS n.40 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del 2 agosto 2018 e s.m.i.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CF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ListParagraph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Bellona,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11169015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79.4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u w:val="single"/>
          <w:lang w:val="en-US" w:eastAsia="en-US"/>
        </w:rPr>
      </w:pPr>
      <w:r>
        <w:rPr>
          <w:b/>
          <w:color w:val="B40303"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33425" cy="504825"/>
            <wp:effectExtent l="0" t="0" r="0" b="0"/>
            <wp:docPr id="8" name="demo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mo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8" r="-6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2970" w:leader="none"/>
        </w:tabs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 xml:space="preserve">Multicampus - </w:t>
      </w:r>
      <w:r>
        <w:rPr>
          <w:rFonts w:cs="Arial" w:ascii="Arial" w:hAnsi="Arial"/>
          <w:b/>
          <w:color w:val="000000"/>
          <w:sz w:val="14"/>
          <w:szCs w:val="14"/>
        </w:rPr>
        <w:t>marchio di proprietà Prima Hub srls - sede via A. De Gasperi 10 - 81041 Bellona (Ce)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jc w:val="center"/>
        <w:rPr>
          <w:rFonts w:ascii="Arial" w:hAnsi="Arial" w:cs="Arial"/>
          <w:b/>
          <w:b/>
          <w:color w:val="000000"/>
          <w:sz w:val="14"/>
          <w:szCs w:val="14"/>
        </w:rPr>
      </w:pPr>
      <w:r>
        <w:rPr>
          <w:rFonts w:cs="Arial" w:ascii="Arial" w:hAnsi="Arial"/>
          <w:b/>
          <w:color w:val="000000"/>
          <w:sz w:val="14"/>
          <w:szCs w:val="14"/>
        </w:rPr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2024-01-16T10:42:00Z</dcterms:created>
  <dc:creator>Utente Windows</dc:creator>
  <dc:description/>
  <cp:keywords/>
  <dc:language>en-US</dc:language>
  <cp:lastModifiedBy>Employee</cp:lastModifiedBy>
  <cp:lastPrinted>2021-02-26T10:27:00Z</cp:lastPrinted>
  <dcterms:modified xsi:type="dcterms:W3CDTF">2024-01-16T11:54:00Z</dcterms:modified>
  <cp:revision>7</cp:revision>
  <dc:subject/>
  <dc:title/>
</cp:coreProperties>
</file>