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Antiriciclaggio e Contrasto al finanziamento del terrorismo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  <w:t>Aggiornato alla Direttiva UE 2018/843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08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 ora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08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degli Argomenti: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800" w:hanging="0"/>
        <w:contextualSpacing/>
        <w:rPr>
          <w:rFonts w:ascii="Arial" w:hAnsi="Arial" w:cs="Arial"/>
          <w:b/>
          <w:b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Regolamento IVASS n. 44 del 2019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800" w:hanging="0"/>
        <w:contextualSpacing/>
        <w:rPr>
          <w:rFonts w:ascii="Arial" w:hAnsi="Arial" w:cs="Arial"/>
          <w:b/>
          <w:b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Provvedimento Banca d’Italia del 26 marzo 2019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80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Provvedimento UIF del 28 marzo 2019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080" w:hanging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 requisiti dei soggetti formatori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08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080" w:hanging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Firstname Lastname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ha adempito agli obblighi formativi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Docenti:</w:t>
      </w:r>
      <w:r>
        <w:rPr>
          <w:rFonts w:cs="Arial" w:ascii="Arial" w:hAnsi="Arial"/>
          <w:b/>
          <w:color w:val="B40303"/>
          <w:sz w:val="18"/>
          <w:szCs w:val="18"/>
        </w:rPr>
        <w:t xml:space="preserve"> Avv. C. Gugliotta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10995025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65.7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rPr>
          <w:rFonts w:ascii="Arial" w:hAnsi="Arial" w:cs="Arial"/>
          <w:b/>
          <w:b/>
          <w:color w:val="B40303"/>
          <w:sz w:val="14"/>
          <w:szCs w:val="14"/>
        </w:rPr>
      </w:pPr>
      <w:r>
        <w:rPr>
          <w:rFonts w:cs="Arial" w:ascii="Arial" w:hAnsi="Arial"/>
          <w:b/>
          <w:color w:val="B40303"/>
          <w:sz w:val="14"/>
          <w:szCs w:val="14"/>
        </w:rPr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b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  <w:color w:val="B40303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color w:val="B40303"/>
      <w:sz w:val="22"/>
      <w:szCs w:val="22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2020-01-08T17:18:00Z</dcterms:created>
  <dc:creator>Utente Windows</dc:creator>
  <dc:description/>
  <cp:keywords/>
  <dc:language>en-US</dc:language>
  <cp:lastModifiedBy>Surface</cp:lastModifiedBy>
  <cp:lastPrinted>2020-01-03T13:34:00Z</cp:lastPrinted>
  <dcterms:modified xsi:type="dcterms:W3CDTF">2020-01-08T17:19:00Z</dcterms:modified>
  <cp:revision>3</cp:revision>
  <dc:subject/>
  <dc:title/>
</cp:coreProperties>
</file>