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Antiriciclaggio e Contrasto al finanziamento del terrorismo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  <w:t>Aggiornato alla Quinta Direttiva UE 2018/843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C00000"/>
          <w:sz w:val="18"/>
          <w:szCs w:val="18"/>
        </w:rPr>
      </w:pPr>
      <w:r>
        <w:rPr>
          <w:rFonts w:cs="Arial" w:ascii="Arial" w:hAnsi="Arial"/>
          <w:color w:val="C00000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C00000"/>
          <w:sz w:val="18"/>
          <w:szCs w:val="18"/>
        </w:rPr>
        <w:t xml:space="preserve">durata complessiva di 1 ora in </w:t>
      </w:r>
      <w:r>
        <w:rPr>
          <w:rFonts w:cs="Arial" w:ascii="Arial" w:hAnsi="Arial"/>
          <w:b/>
          <w:i/>
          <w:color w:val="C00000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color w:val="C00000"/>
          <w:sz w:val="18"/>
          <w:szCs w:val="18"/>
        </w:rPr>
        <w:t xml:space="preserve">la trattazione degli Argomenti: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Regolamento IVASS n. 44 del 2019 aggiornato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/>
      </w:pPr>
      <w:r>
        <w:rPr>
          <w:rFonts w:cs="Arial" w:ascii="Arial" w:hAnsi="Arial"/>
          <w:b/>
          <w:color w:val="B40303"/>
          <w:sz w:val="18"/>
          <w:szCs w:val="18"/>
        </w:rPr>
        <w:t>Provvedimento Banca d’Italia del 30 luglio 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Provvedimento UIF in ottemperanza alle previsioni della quarta e della quinta Direttiva antiriciclaggio del 24 luglio 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C00000"/>
          <w:sz w:val="18"/>
          <w:szCs w:val="18"/>
        </w:rPr>
      </w:pPr>
      <w:r>
        <w:rPr>
          <w:rFonts w:cs="Arial" w:ascii="Arial" w:hAnsi="Arial"/>
          <w:color w:val="C00000"/>
          <w:sz w:val="18"/>
          <w:szCs w:val="18"/>
        </w:rPr>
        <w:t>i requisiti dei soggetti formatori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C00000"/>
          <w:sz w:val="18"/>
          <w:szCs w:val="18"/>
        </w:rPr>
      </w:pPr>
      <w:r>
        <w:rPr>
          <w:rFonts w:cs="Arial" w:ascii="Arial" w:hAnsi="Arial"/>
          <w:color w:val="C00000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C00000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bookmarkStart w:id="0" w:name="OLE_LINK3"/>
      <w:bookmarkStart w:id="1" w:name="OLE_LINK2"/>
      <w:bookmarkStart w:id="2" w:name="OLE_LINK1"/>
      <w:r>
        <w:rPr>
          <w:rFonts w:eastAsia="Times New Roman" w:cs="Arial" w:ascii="Arial" w:hAnsi="Arial"/>
          <w:b/>
          <w:color w:val="B40303"/>
          <w:sz w:val="36"/>
          <w:szCs w:val="36"/>
        </w:rPr>
        <w:t>Firstname Lastname</w:t>
      </w:r>
      <w:bookmarkEnd w:id="0"/>
      <w:bookmarkEnd w:id="1"/>
      <w:bookmarkEnd w:id="2"/>
      <w:r>
        <w:rPr>
          <w:rFonts w:eastAsia="Times New Roman" w:cs="Arial" w:ascii="Arial" w:hAnsi="Arial"/>
          <w:b/>
          <w:color w:val="B40303"/>
          <w:sz w:val="36"/>
          <w:szCs w:val="36"/>
        </w:rPr>
        <w:br/>
        <w:t>CF: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Docenti:</w:t>
      </w:r>
      <w:r>
        <w:rPr>
          <w:rFonts w:cs="Arial" w:ascii="Arial" w:hAnsi="Arial"/>
          <w:b/>
          <w:color w:val="B40303"/>
          <w:sz w:val="18"/>
          <w:szCs w:val="18"/>
        </w:rPr>
        <w:t xml:space="preserve"> Avv. C. Gugliotta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11184890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0.7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rPr>
          <w:rFonts w:ascii="Arial" w:hAnsi="Arial" w:cs="Arial"/>
          <w:b/>
          <w:b/>
          <w:color w:val="B40303"/>
          <w:sz w:val="14"/>
          <w:szCs w:val="14"/>
        </w:rPr>
      </w:pPr>
      <w:r>
        <w:rPr>
          <w:rFonts w:cs="Arial" w:ascii="Arial" w:hAnsi="Arial"/>
          <w:b/>
          <w:color w:val="B40303"/>
          <w:sz w:val="14"/>
          <w:szCs w:val="14"/>
        </w:rPr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3" w:name="_Hlk28949326"/>
    <w:bookmarkStart w:id="4" w:name="_Hlk28949326"/>
    <w:bookmarkEnd w:id="4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b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  <w:color w:val="B40303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color w:val="B40303"/>
      <w:sz w:val="22"/>
      <w:szCs w:val="22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2021-01-19T15:30:00Z</dcterms:created>
  <dc:creator>Utente Windows</dc:creator>
  <dc:description/>
  <cp:keywords/>
  <dc:language>en-US</dc:language>
  <cp:lastModifiedBy>Employee</cp:lastModifiedBy>
  <cp:lastPrinted>2020-12-28T12:22:00Z</cp:lastPrinted>
  <dcterms:modified xsi:type="dcterms:W3CDTF">2023-03-27T09:44:00Z</dcterms:modified>
  <cp:revision>7</cp:revision>
  <dc:subject/>
  <dc:title/>
</cp:coreProperties>
</file>