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Antiriciclaggio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Quinta Direttiva UE 2018/843 (ed. 2024)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C00000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color w:val="C00000"/>
          <w:sz w:val="18"/>
          <w:szCs w:val="18"/>
        </w:rPr>
        <w:t xml:space="preserve">la trattazione degli Argomenti: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 aggiornato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/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30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in ottemperanza alle previsioni della quarta e della quinta Direttiva antiriciclaggio del 24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>i requisiti dei soggetti formatori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C00000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CF: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11184890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0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2024-01-16T10:47:00Z</dcterms:created>
  <dc:creator>Utente Windows</dc:creator>
  <dc:description/>
  <cp:keywords/>
  <dc:language>en-US</dc:language>
  <cp:lastModifiedBy>Employee</cp:lastModifiedBy>
  <cp:lastPrinted>2020-12-28T12:22:00Z</cp:lastPrinted>
  <dcterms:modified xsi:type="dcterms:W3CDTF">2024-01-16T11:56:00Z</dcterms:modified>
  <cp:revision>6</cp:revision>
  <dc:subject/>
  <dc:title/>
</cp:coreProperties>
</file>