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Antiriciclaggio e Contrasto al finanziamento del terrorismo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Aggiornato alla Quinta Direttiva UE 2018/843 (ed. 2025)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C00000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color w:val="C00000"/>
          <w:sz w:val="18"/>
          <w:szCs w:val="18"/>
        </w:rPr>
        <w:t xml:space="preserve">la trattazione degli Argomenti: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b/>
          <w:b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Regolamento IVASS n. 44 del 2019 aggiornato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/>
      </w:pPr>
      <w:r>
        <w:rPr>
          <w:rFonts w:cs="Arial" w:ascii="Arial" w:hAnsi="Arial"/>
          <w:b/>
          <w:color w:val="B40303"/>
          <w:sz w:val="18"/>
          <w:szCs w:val="18"/>
        </w:rPr>
        <w:t>Provvedimento Banca d’Italia del 30 luglio 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40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b/>
          <w:color w:val="B40303"/>
          <w:sz w:val="18"/>
          <w:szCs w:val="18"/>
        </w:rPr>
        <w:t>Provvedimento UIF in ottemperanza alle previsioni della quarta e della quinta Direttiva antiriciclaggio del 24 luglio 2019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>i requisiti dei soggetti formatori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C00000"/>
          <w:sz w:val="18"/>
          <w:szCs w:val="18"/>
        </w:rPr>
      </w:pPr>
      <w:r>
        <w:rPr>
          <w:rFonts w:cs="Arial" w:ascii="Arial" w:hAnsi="Arial"/>
          <w:color w:val="C00000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C00000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CF: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Avv. C. Gugliotta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11184890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80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2024-01-16T10:47:00Z</dcterms:created>
  <dc:creator>Utente Windows</dc:creator>
  <dc:description/>
  <cp:keywords/>
  <dc:language>en-US</dc:language>
  <cp:lastModifiedBy>Employee</cp:lastModifiedBy>
  <cp:lastPrinted>2020-12-28T12:22:00Z</cp:lastPrinted>
  <dcterms:modified xsi:type="dcterms:W3CDTF">2025-01-02T13:54:00Z</dcterms:modified>
  <cp:revision>8</cp:revision>
  <dc:subject/>
  <dc:title/>
</cp:coreProperties>
</file>