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 xml:space="preserve">sulle materie rilevanti per l’esercizio dell’attività di Agente in Attività Finanziaria </w:t>
        <w:br/>
        <w:t>e Mediatore Creditizio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15 ORE (ed. 2025)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15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6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2024-01-16T10:45:00Z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2025-01-02T13:53:00Z</dcterms:modified>
  <cp:revision>7</cp:revision>
  <dc:subject/>
  <dc:title/>
</cp:coreProperties>
</file>