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both"/>
        <w:rPr/>
      </w:pPr>
      <w:r>
        <w:rPr>
          <w:rFonts w:cs="Arial" w:ascii="Arial" w:hAnsi="Arial"/>
          <w:color w:val="B40303"/>
          <w:sz w:val="18"/>
          <w:szCs w:val="18"/>
        </w:rPr>
        <w:t>sulle materie rilevanti per l’esercizio dell’attività di Agente in Attività Finanziaria e Mediatore Creditizio così disciplinato nell’artt. 2 e 4 della Circolare n. 19/14 aggiornata e modificata”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  <w:u w:val="single"/>
        </w:rPr>
      </w:pPr>
      <w:r>
        <w:rPr>
          <w:rFonts w:cs="Arial" w:ascii="Arial" w:hAnsi="Arial"/>
          <w:b/>
          <w:color w:val="B40303"/>
          <w:sz w:val="36"/>
          <w:szCs w:val="36"/>
          <w:u w:val="single"/>
        </w:rPr>
        <w:t>Aggiornamento Professionale OAM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30 ORE (Anno 2020)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30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della </w:t>
      </w:r>
      <w:r>
        <w:rPr>
          <w:rFonts w:cs="Arial" w:ascii="Arial" w:hAnsi="Arial"/>
          <w:b/>
          <w:color w:val="B40303"/>
          <w:sz w:val="18"/>
          <w:szCs w:val="18"/>
        </w:rPr>
        <w:t>Circolare OAM n. 19/14 aggiornata al 30/10/2019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delle materie come alla </w:t>
      </w:r>
      <w:r>
        <w:rPr>
          <w:rFonts w:cs="Arial" w:ascii="Arial" w:hAnsi="Arial"/>
          <w:b/>
          <w:color w:val="B40303"/>
          <w:sz w:val="18"/>
          <w:szCs w:val="18"/>
        </w:rPr>
        <w:t>Tabella “A” della Circ. OAM n. 19/14 aggiornata al 30/10/2019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 requisiti dei soggetti formatori per l’aggiornamento professionale 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bookmarkStart w:id="0" w:name="OLE_LINK1"/>
      <w:bookmarkStart w:id="1" w:name="OLE_LINK2"/>
      <w:bookmarkStart w:id="2" w:name="OLE_LINK3"/>
      <w:r>
        <w:rPr>
          <w:rFonts w:cs="Arial" w:ascii="Arial" w:hAnsi="Arial"/>
          <w:b/>
          <w:color w:val="B40303"/>
          <w:sz w:val="36"/>
          <w:szCs w:val="36"/>
        </w:rPr>
        <w:t>Firstname Lastname</w:t>
      </w:r>
      <w:bookmarkEnd w:id="0"/>
      <w:bookmarkEnd w:id="1"/>
      <w:bookmarkEnd w:id="2"/>
      <w:r>
        <w:rPr>
          <w:rFonts w:cs="Arial" w:ascii="Arial" w:hAnsi="Arial"/>
          <w:b/>
          <w:color w:val="B40303"/>
          <w:sz w:val="36"/>
          <w:szCs w:val="36"/>
        </w:rPr>
        <w:br/>
        <w:t>username: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R&amp;B Consulting srl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11337290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92.7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42315" cy="371475"/>
            <wp:effectExtent l="0" t="0" r="0" b="0"/>
            <wp:docPr id="8" name="Immagin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2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94" r="-47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</w:t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3" w:name="_Hlk28949326"/>
    <w:bookmarkStart w:id="4" w:name="_Hlk28949326"/>
    <w:bookmarkEnd w:id="4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Carpredefinitoparagrafo">
    <w:name w:val="Car. predefinito paragrafo"/>
    <w:qFormat/>
    <w:rPr/>
  </w:style>
  <w:style w:type="character" w:styleId="TestofumettoCarattere">
    <w:name w:val="Testo fumetto Carattere"/>
    <w:qFormat/>
    <w:rPr>
      <w:rFonts w:ascii="Segoe UI" w:hAnsi="Segoe UI" w:cs="Segoe UI"/>
      <w:sz w:val="18"/>
      <w:szCs w:val="18"/>
    </w:rPr>
  </w:style>
  <w:style w:type="character" w:styleId="IntestazioneCarattere">
    <w:name w:val="Intestazione Carattere"/>
    <w:basedOn w:val="Carpredefinitoparagrafo"/>
    <w:qFormat/>
    <w:rPr/>
  </w:style>
  <w:style w:type="character" w:styleId="PidipaginaCarattere">
    <w:name w:val="Piè di pagina Carattere"/>
    <w:basedOn w:val="Carpredefinitoparagrafo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stofumetto">
    <w:name w:val="Testo fumett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Paragrafoelenco">
    <w:name w:val="Paragrafo elenco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2020-01-08T10:06:00Z</dcterms:created>
  <dc:creator>Utente Windows</dc:creator>
  <dc:description/>
  <cp:keywords/>
  <dc:language>en-US</dc:language>
  <cp:lastModifiedBy>Surface</cp:lastModifiedBy>
  <cp:lastPrinted>2020-01-03T14:44:00Z</cp:lastPrinted>
  <dcterms:modified xsi:type="dcterms:W3CDTF">2020-01-08T10:16:00Z</dcterms:modified>
  <cp:revision>4</cp:revision>
  <dc:subject/>
  <dc:title/>
</cp:coreProperties>
</file>