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>sulle materie rilevanti per l’esercizio dell’attività di Agente in Attività Finanziaria e Mediatore Creditizio di cui all’art. 14, comma 1, lett. b, del D.lgs. 141/2010,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per sostenere la </w:t>
      </w:r>
      <w:r>
        <w:rPr>
          <w:rFonts w:cs="Arial" w:ascii="Arial" w:hAnsi="Arial"/>
          <w:b/>
          <w:color w:val="B40303"/>
          <w:sz w:val="36"/>
          <w:szCs w:val="36"/>
          <w:u w:val="single"/>
        </w:rPr>
        <w:t>Prova D’esame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11015980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67.4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2022-03-18T10:47:00Z</dcterms:created>
  <dc:creator>Utente Windows</dc:creator>
  <dc:description/>
  <cp:keywords/>
  <dc:language>en-US</dc:language>
  <cp:lastModifiedBy>Employee</cp:lastModifiedBy>
  <cp:lastPrinted>2020-01-03T13:34:00Z</cp:lastPrinted>
  <dcterms:modified xsi:type="dcterms:W3CDTF">2025-08-04T14:07:00Z</dcterms:modified>
  <cp:revision>5</cp:revision>
  <dc:subject/>
  <dc:title/>
</cp:coreProperties>
</file>