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per i dipendenti ed i collaboratori di cui gli agenti in attività finanziaria ed i mediatori creditizi si avvalgono per il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contatto con il pubblico, di cui all’art. l’art. 128-novies, comma 1, del TUB, così disciplinato dalla Circolare n. 19/14 e 22/15, successivamente aggiornate e modificate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per sostenere la </w:t>
      </w:r>
      <w:r>
        <w:rPr>
          <w:rFonts w:cs="Arial" w:ascii="Arial" w:hAnsi="Arial"/>
          <w:b/>
          <w:color w:val="B40303"/>
          <w:sz w:val="36"/>
          <w:szCs w:val="36"/>
          <w:u w:val="single"/>
        </w:rPr>
        <w:t>Prova Valutativa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22/15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10872470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56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2022-03-18T11:47:00Z</dcterms:created>
  <dc:creator>Utente Windows</dc:creator>
  <dc:description/>
  <cp:keywords/>
  <dc:language>en-US</dc:language>
  <cp:lastModifiedBy>Employee</cp:lastModifiedBy>
  <cp:lastPrinted>2020-01-03T13:34:00Z</cp:lastPrinted>
  <dcterms:modified xsi:type="dcterms:W3CDTF">2023-02-14T13:48:00Z</dcterms:modified>
  <cp:revision>6</cp:revision>
  <dc:subject/>
  <dc:title/>
</cp:coreProperties>
</file>