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>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Disciplina sulla Privacy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  <w:t>Regolamento generale sulla protezione dei dati (*GDPR)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/>
      </w:pPr>
      <w:r>
        <w:rPr>
          <w:rFonts w:cs="Arial" w:ascii="Arial" w:hAnsi="Arial"/>
          <w:b/>
          <w:color w:val="B40303"/>
          <w:sz w:val="16"/>
          <w:szCs w:val="16"/>
        </w:rPr>
        <w:t xml:space="preserve">- </w:t>
      </w:r>
      <w:r>
        <w:rPr>
          <w:rFonts w:cs="Arial" w:ascii="Arial" w:hAnsi="Arial"/>
          <w:color w:val="B40303"/>
          <w:sz w:val="16"/>
          <w:szCs w:val="16"/>
        </w:rPr>
        <w:t>Principi per il trattamento dei dati personali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liceità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trasparenza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responsabilizzazione ("accountability")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Le basi giuridiche per il trattamento dei dati personali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Caratteristiche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Gli elementi del consenso valido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consenso esplicito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La dimostrazione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La revoca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registro delle attività di trattamento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 soggetti obbligati alla tenuta del registro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Modalità di conservazione e aggiornamento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8"/>
          <w:szCs w:val="18"/>
        </w:rPr>
        <w:t xml:space="preserve">- </w:t>
      </w:r>
      <w:r>
        <w:rPr>
          <w:rFonts w:cs="Arial" w:ascii="Arial" w:hAnsi="Arial"/>
          <w:color w:val="B40303"/>
          <w:sz w:val="16"/>
          <w:szCs w:val="16"/>
        </w:rPr>
        <w:t>Il requisito della forma scritta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ha adempito agli obblighi formativi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11418570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2022-03-18T11:48:00Z</dcterms:created>
  <dc:creator>Utente Windows</dc:creator>
  <dc:description/>
  <cp:keywords/>
  <dc:language>en-US</dc:language>
  <cp:lastModifiedBy>Account Microsoft</cp:lastModifiedBy>
  <cp:lastPrinted>2020-01-03T13:34:00Z</cp:lastPrinted>
  <dcterms:modified xsi:type="dcterms:W3CDTF">2022-03-18T11:48:00Z</dcterms:modified>
  <cp:revision>4</cp:revision>
  <dc:subject/>
  <dc:title/>
</cp:coreProperties>
</file>