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CORSO DI AGGIORNAMENTO PROFESSIONALE ANNUALE OBBLIGATORIO IVASS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30 ore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n. 58 del 2017, al Regolamento IVASS n. 40 del 2018</w:t>
      </w:r>
      <w:r>
        <w:rPr/>
        <w:t xml:space="preserve"> </w:t>
      </w:r>
      <w:r>
        <w:rPr>
          <w:i/>
          <w:lang w:val="en-US" w:eastAsia="en-US"/>
        </w:rPr>
        <w:t>e al Regolamento IVASS n. 44 del 2019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Docente:</w:t>
      </w:r>
      <w:r>
        <w:rPr>
          <w:lang w:val="en-US" w:eastAsia="en-US"/>
        </w:rPr>
        <w:t xml:space="preserve"> Avv. G. Russo, Avv. C. Gugliotta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  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3" w:name="OLE_LINK5"/>
      <w:bookmarkStart w:id="4" w:name="OLE_LINK4"/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[CF], frequentate le 30 ore di aggiornamento con modalità di e-learning sulla piattaforma didattica di R&amp;B Consulting Srl, ha svolto il test di verifica finale relativo al corso di aggiornamento ai fini IVASS.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jc w:val="center"/>
        <w:rPr>
          <w:i/>
          <w:i/>
          <w:sz w:val="40"/>
        </w:rPr>
      </w:pPr>
      <w:r>
        <w:rPr>
          <w:b/>
          <w:sz w:val="40"/>
          <w:u w:val="single"/>
        </w:rPr>
        <w:t>Programma del corso</w:t>
      </w:r>
    </w:p>
    <w:p>
      <w:pPr>
        <w:pStyle w:val="Normal"/>
        <w:jc w:val="center"/>
        <w:rPr>
          <w:i/>
          <w:i/>
        </w:rPr>
      </w:pPr>
      <w:r>
        <w:rPr>
          <w:i/>
        </w:rPr>
        <w:t xml:space="preserve">*Corso aggiornato al D.Lgs. n. 74 del 2015, alla Direttiva 2016/97/UE (IDD), </w:t>
      </w:r>
    </w:p>
    <w:p>
      <w:pPr>
        <w:pStyle w:val="Normal"/>
        <w:jc w:val="center"/>
        <w:rPr>
          <w:i/>
          <w:i/>
        </w:rPr>
      </w:pPr>
      <w:r>
        <w:rPr>
          <w:i/>
        </w:rPr>
        <w:t xml:space="preserve">al Regolamento UE 2016/679 (GDPR), al Provvedimento n. 58 del 2017, </w:t>
      </w:r>
    </w:p>
    <w:p>
      <w:pPr>
        <w:pStyle w:val="Normal"/>
        <w:jc w:val="center"/>
        <w:rPr>
          <w:i/>
          <w:i/>
        </w:rPr>
      </w:pPr>
      <w:r>
        <w:rPr>
          <w:i/>
        </w:rPr>
        <w:t>al Regolamento IVASS n. 40 del 2018 e al Regolamento IVASS n. 44 del 2019</w:t>
      </w:r>
    </w:p>
    <w:p>
      <w:pPr>
        <w:pStyle w:val="Normal"/>
        <w:jc w:val="both"/>
        <w:rPr>
          <w:i/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Paragrafoelenco"/>
        <w:numPr>
          <w:ilvl w:val="0"/>
          <w:numId w:val="1"/>
        </w:numPr>
        <w:ind w:left="1276" w:hanging="34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Area giuridica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Impresa di assicurazione - condizioni di accesso e di esercizio e regime di operatività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Impresa di riassicurazione - condizioni di accesso e esercizio e regime di operatività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Controlli sull’impresa di assicurazione 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Sanzioni 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Contratto di assicurazione e di riassicurazione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Antiriciclaggio e contrasto al finanziamento del terrorismo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Intermediazione del credito</w:t>
      </w:r>
    </w:p>
    <w:p>
      <w:pPr>
        <w:pStyle w:val="Paragrafoelenco"/>
        <w:numPr>
          <w:ilvl w:val="0"/>
          <w:numId w:val="3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Normativa in materia di protezione dei dati personali </w:t>
      </w:r>
    </w:p>
    <w:p>
      <w:pPr>
        <w:pStyle w:val="Paragrafoelenco"/>
        <w:ind w:left="720" w:right="850" w:hanging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Paragrafoelenco"/>
        <w:numPr>
          <w:ilvl w:val="0"/>
          <w:numId w:val="1"/>
        </w:numPr>
        <w:ind w:left="1287" w:right="850" w:hanging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Area tecnica assicurativa e riassicurativa</w:t>
      </w:r>
    </w:p>
    <w:p>
      <w:pPr>
        <w:pStyle w:val="Paragrafoelenco"/>
        <w:numPr>
          <w:ilvl w:val="0"/>
          <w:numId w:val="2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Classificazione per rami di attività</w:t>
      </w:r>
    </w:p>
    <w:p>
      <w:pPr>
        <w:pStyle w:val="Paragrafoelenco"/>
        <w:numPr>
          <w:ilvl w:val="0"/>
          <w:numId w:val="2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Assicurazioni contro i danni </w:t>
      </w:r>
    </w:p>
    <w:p>
      <w:pPr>
        <w:pStyle w:val="Paragrafoelenco"/>
        <w:numPr>
          <w:ilvl w:val="0"/>
          <w:numId w:val="2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Principali tipologie di coperture riassicurative</w:t>
      </w:r>
    </w:p>
    <w:p>
      <w:pPr>
        <w:pStyle w:val="Paragrafoelenco"/>
        <w:numPr>
          <w:ilvl w:val="0"/>
          <w:numId w:val="2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Elementi tariffari</w:t>
      </w:r>
    </w:p>
    <w:p>
      <w:pPr>
        <w:pStyle w:val="Normal"/>
        <w:ind w:left="360" w:right="850" w:hanging="0"/>
        <w:jc w:val="both"/>
        <w:rPr>
          <w:rFonts w:ascii="Times New Roman" w:hAnsi="Times New Roman" w:eastAsia="Calibri" w:cs="Times New Roman"/>
          <w:sz w:val="22"/>
          <w:szCs w:val="22"/>
        </w:rPr>
      </w:pPr>
      <w:r>
        <w:rPr>
          <w:rFonts w:eastAsia="Calibri" w:cs="Times New Roman"/>
          <w:sz w:val="22"/>
          <w:szCs w:val="22"/>
        </w:rPr>
      </w:r>
    </w:p>
    <w:p>
      <w:pPr>
        <w:pStyle w:val="Paragrafoelenco"/>
        <w:numPr>
          <w:ilvl w:val="0"/>
          <w:numId w:val="1"/>
        </w:numPr>
        <w:ind w:left="1287" w:right="850" w:hanging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Area amministrativa e gestionale</w:t>
      </w:r>
    </w:p>
    <w:p>
      <w:pPr>
        <w:pStyle w:val="Paragrafoelenco"/>
        <w:numPr>
          <w:ilvl w:val="0"/>
          <w:numId w:val="4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Elementi di contabilità</w:t>
      </w:r>
    </w:p>
    <w:p>
      <w:pPr>
        <w:pStyle w:val="Paragrafoelenco"/>
        <w:numPr>
          <w:ilvl w:val="0"/>
          <w:numId w:val="4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Procedure e modalità assuntive e distributive adottate dall’impresa/e con cui l’intermediario opera</w:t>
      </w:r>
    </w:p>
    <w:p>
      <w:pPr>
        <w:pStyle w:val="Paragrafoelenco"/>
        <w:numPr>
          <w:ilvl w:val="0"/>
          <w:numId w:val="4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Gestione dei reclami</w:t>
      </w:r>
    </w:p>
    <w:p>
      <w:pPr>
        <w:pStyle w:val="Paragrafoelenco"/>
        <w:numPr>
          <w:ilvl w:val="0"/>
          <w:numId w:val="4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Sistemi alternativi di risoluzione delle liti </w:t>
      </w:r>
    </w:p>
    <w:p>
      <w:pPr>
        <w:pStyle w:val="Paragrafoelenco"/>
        <w:numPr>
          <w:ilvl w:val="0"/>
          <w:numId w:val="4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Marketing e tecniche di comunicazione</w:t>
      </w:r>
    </w:p>
    <w:p>
      <w:pPr>
        <w:pStyle w:val="Normal"/>
        <w:ind w:right="850" w:hanging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p>
      <w:pPr>
        <w:pStyle w:val="Paragrafoelenco"/>
        <w:numPr>
          <w:ilvl w:val="0"/>
          <w:numId w:val="1"/>
        </w:numPr>
        <w:ind w:left="1287" w:right="850" w:hanging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Area informatica</w:t>
      </w:r>
    </w:p>
    <w:p>
      <w:pPr>
        <w:pStyle w:val="Paragrafoelenco"/>
        <w:numPr>
          <w:ilvl w:val="0"/>
          <w:numId w:val="5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Applicazioni/procedure e altre tecnologie predisposte dall’impresa/e con cui l’intermediario opera</w:t>
      </w:r>
    </w:p>
    <w:p>
      <w:pPr>
        <w:pStyle w:val="Paragrafoelenco"/>
        <w:numPr>
          <w:ilvl w:val="0"/>
          <w:numId w:val="5"/>
        </w:numPr>
        <w:ind w:left="1985" w:right="850" w:hanging="284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Sicurezza informatica e protezione dei dati (durata 6h)</w:t>
      </w:r>
    </w:p>
    <w:p>
      <w:pPr>
        <w:pStyle w:val="Normal"/>
        <w:spacing w:lineRule="auto" w:line="276"/>
        <w:ind w:right="850" w:hanging="0"/>
        <w:rPr>
          <w:rFonts w:ascii="Times New Roman" w:hAnsi="Times New Roman" w:cs="Times New Roman"/>
          <w:sz w:val="22"/>
          <w:szCs w:val="28"/>
          <w:lang w:val="en-US" w:eastAsia="en-US"/>
        </w:rPr>
      </w:pPr>
      <w:r>
        <w:rPr>
          <w:rFonts w:cs="Times New Roman"/>
          <w:sz w:val="22"/>
          <w:szCs w:val="28"/>
          <w:lang w:val="en-US" w:eastAsia="en-US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ani">
    <w:altName w:val="Bahnschrift Light"/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Times New Roman" w:hAnsi="Times New Roman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rFonts w:ascii="Times New Roman" w:hAnsi="Times New Roman" w:eastAsia="Calibri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Vani;Bahnschrift Light" w:hAnsi="Vani;Bahnschrift Light" w:cs="Vani;Bahnschrift Light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Times New Roman" w:hAnsi="Times New Roman" w:eastAsia="Calibri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Vani;Bahnschrift Light" w:hAnsi="Vani;Bahnschrift Light" w:cs="Vani;Bahnschrift Light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Vani;Bahnschrift Light" w:hAnsi="Vani;Bahnschrift Light" w:cs="Vani;Bahnschrift Light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Vani;Bahnschrift Light" w:hAnsi="Vani;Bahnschrift Light" w:cs="Vani;Bahnschrift Light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lang w:val="en-US" w:eastAsia="en-US"/>
    </w:rPr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paragraph" w:styleId="Paragrafoelenco">
    <w:name w:val="Paragrafo elenco"/>
    <w:basedOn w:val="Normal"/>
    <w:qFormat/>
    <w:pPr>
      <w:spacing w:before="0" w:after="0"/>
      <w:ind w:left="720" w:hanging="0"/>
      <w:contextualSpacing/>
      <w:jc w:val="center"/>
    </w:pPr>
    <w:rPr>
      <w:rFonts w:ascii="Calibri" w:hAnsi="Calibri" w:eastAsia="Calibri" w:cs="Calibri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2018-02-15T13:08:00Z</dcterms:created>
  <dc:creator>A</dc:creator>
  <dc:description/>
  <cp:keywords/>
  <dc:language>en-US</dc:language>
  <cp:lastModifiedBy>utente</cp:lastModifiedBy>
  <cp:lastPrinted>2010-10-29T13:21:00Z</cp:lastPrinted>
  <dcterms:modified xsi:type="dcterms:W3CDTF">2020-05-26T10:52:00Z</dcterms:modified>
  <cp:revision>12</cp:revision>
  <dc:subject/>
  <dc:title>                                </dc:title>
</cp:coreProperties>
</file>