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bookmarkStart w:id="0" w:name="OLE_LINK3"/>
      <w:bookmarkStart w:id="1" w:name="OLE_LINK2"/>
      <w:bookmarkStart w:id="2" w:name="OLE_LINK1"/>
      <w:r>
        <w:rPr>
          <w:i/>
          <w:sz w:val="72"/>
          <w:szCs w:val="72"/>
          <w:lang w:val="en-US" w:eastAsia="en-US"/>
        </w:rPr>
        <w:t>Firstname Lastname</w:t>
      </w:r>
      <w:bookmarkEnd w:id="0"/>
      <w:bookmarkEnd w:id="1"/>
      <w:bookmarkEnd w:id="2"/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CF: idst</w:t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60H 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DI AGGIORNAMENTO AI FINI IVASS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PER LA REISCRIZIONE A - B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sz w:val="40"/>
          <w:szCs w:val="40"/>
        </w:rPr>
      </w:pPr>
      <w:r>
        <w:rPr>
          <w:rFonts w:cs="Verdana" w:ascii="Verdana" w:hAnsi="Verdana"/>
          <w:sz w:val="40"/>
          <w:szCs w:val="40"/>
        </w:rPr>
        <w:t>ai sensi del Regolamento IVASS n. 40/2018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8"/>
          <w:szCs w:val="18"/>
          <w:lang w:val="en-US" w:eastAsia="en-US"/>
        </w:rPr>
      </w:pPr>
      <w:r>
        <w:rPr>
          <w:rFonts w:cs="Verdana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60 ore in modalità di e-learning</w:t>
      </w:r>
    </w:p>
    <w:p>
      <w:pPr>
        <w:pStyle w:val="Normal"/>
        <w:ind w:right="425" w:hanging="0"/>
        <w:rPr/>
      </w:pPr>
      <w:r>
        <w:rPr/>
      </w:r>
    </w:p>
    <w:p>
      <w:pPr>
        <w:pStyle w:val="Normal"/>
        <w:ind w:right="425" w:hanging="0"/>
        <w:jc w:val="both"/>
        <w:rPr>
          <w:i/>
          <w:i/>
          <w:lang w:val="en-US" w:eastAsia="en-US"/>
        </w:rPr>
      </w:pPr>
      <w:r>
        <w:rPr>
          <w:b/>
          <w:lang w:val="en-US" w:eastAsia="en-US"/>
        </w:rPr>
        <w:t xml:space="preserve">Aree tematiche trattate </w:t>
      </w:r>
      <w:r>
        <w:rPr>
          <w:i/>
          <w:lang w:val="en-US" w:eastAsia="en-US"/>
        </w:rPr>
        <w:t>aggiornate al D.Lgs. n. 74 del 2015, alla Direttiva 2016/97/UE (IDD), al Regolamento UE 2016/679 (GDPR), al Provvedimento n. 58 del 2017, al Regolamento IVASS n. 44 del 2019, al Regolamento IVASS n. 40 del 2018 (modificato e integrato dal Provvedimento IVASS n. 97 del 2020) e al Provvedimento n. 45 del 2020</w:t>
      </w:r>
      <w:r>
        <w:rPr>
          <w:lang w:val="en-US" w:eastAsia="en-US"/>
        </w:rPr>
        <w:t>: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-179" w:leader="none"/>
        </w:tabs>
        <w:ind w:left="709" w:right="425" w:hanging="425"/>
        <w:jc w:val="both"/>
        <w:rPr/>
      </w:pPr>
      <w:r>
        <w:rPr>
          <w:lang w:val="en-US" w:eastAsia="en-US"/>
        </w:rPr>
        <w:t xml:space="preserve">Area contrattuale e prodotti. 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giuridica.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tecnica assicurativa e riassicurativa.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-179" w:leader="none"/>
        </w:tabs>
        <w:ind w:left="284" w:right="425" w:hanging="0"/>
        <w:jc w:val="both"/>
        <w:rPr/>
      </w:pPr>
      <w:r>
        <w:rPr>
          <w:lang w:val="en-US" w:eastAsia="en-US"/>
        </w:rPr>
        <w:t xml:space="preserve">Area amministrativa e gestionale. 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709" w:leader="none"/>
        </w:tabs>
        <w:ind w:left="669" w:right="425" w:hanging="360"/>
        <w:jc w:val="both"/>
        <w:rPr>
          <w:lang w:val="en-US" w:eastAsia="en-US"/>
        </w:rPr>
      </w:pPr>
      <w:r>
        <w:rPr>
          <w:lang w:val="en-US" w:eastAsia="en-US"/>
        </w:rPr>
        <w:t>Area informatica.</w:t>
      </w:r>
    </w:p>
    <w:p>
      <w:pPr>
        <w:pStyle w:val="Normal"/>
        <w:ind w:left="284" w:right="425" w:hanging="0"/>
        <w:jc w:val="both"/>
        <w:rPr>
          <w:sz w:val="22"/>
          <w:lang w:val="en-US" w:eastAsia="en-US"/>
        </w:rPr>
      </w:pPr>
      <w:r>
        <w:rPr>
          <w:sz w:val="22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/>
      </w:pPr>
      <w:r>
        <w:rPr/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/>
      </w:pPr>
      <w:r>
        <w:rPr>
          <w:b/>
          <w:lang w:val="en-US" w:eastAsia="en-US"/>
        </w:rPr>
        <w:t>Docenti:</w:t>
      </w:r>
      <w:r>
        <w:rPr>
          <w:lang w:val="en-US" w:eastAsia="en-US"/>
        </w:rPr>
        <w:t xml:space="preserve"> Prof. Avv. Giuseppe Russo - Avv. C. Gugliotta - Avv. Angela Sgueglia </w:t>
      </w:r>
    </w:p>
    <w:p>
      <w:pPr>
        <w:pStyle w:val="Normal"/>
        <w:ind w:right="425" w:hanging="0"/>
        <w:rPr/>
      </w:pPr>
      <w:r>
        <w:rPr>
          <w:i/>
          <w:sz w:val="22"/>
          <w:szCs w:val="28"/>
          <w:lang w:val="en-US" w:eastAsia="en-US"/>
        </w:rPr>
        <w:t>Il Coordinatore Scientifico e la docente hanno maturato una comprovata esperienza oltre che quinquennale nelle materie di cui alla lettera a) comma 3 art. 96 del Regolamento IVASS n. 40/2018</w:t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6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ind w:right="283" w:hanging="0"/>
        <w:rPr>
          <w:lang w:val="en-US" w:eastAsia="en-US"/>
        </w:rPr>
      </w:pPr>
      <w:r>
        <w:rPr>
          <w:lang w:val="en-US" w:eastAsia="en-US"/>
        </w:rPr>
        <w:t xml:space="preserve">                     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 xml:space="preserve">Il giorno [DATECOMPLETE] alle ore [ORA] il candidato </w:t>
      </w:r>
      <w:bookmarkStart w:id="3" w:name="OLE_LINK5"/>
      <w:bookmarkStart w:id="4" w:name="OLE_LINK4"/>
      <w:r>
        <w:rPr>
          <w:sz w:val="26"/>
          <w:szCs w:val="26"/>
          <w:lang w:val="en-US" w:eastAsia="en-US"/>
        </w:rPr>
        <w:t>Firstname Lastname</w:t>
      </w:r>
      <w:r>
        <w:rPr>
          <w:sz w:val="26"/>
          <w:szCs w:val="26"/>
        </w:rPr>
        <w:t xml:space="preserve"> </w:t>
      </w:r>
      <w:bookmarkEnd w:id="3"/>
      <w:bookmarkEnd w:id="4"/>
      <w:r>
        <w:rPr>
          <w:sz w:val="26"/>
          <w:szCs w:val="20"/>
        </w:rPr>
        <w:t xml:space="preserve">CF [CF], frequentate le 60 ore di aggiornamento con modalità di e-learning sulla piattaforma didattica di R&amp;B Consulting Srl, ha svolto il test di verifica finale relativo al corso di aggiornamento ai fini IVASS.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corso fornito da R&amp;B Consulting Srl, con sede legale in via Crescenzio, 25 - 00193 Roma (RM), PI 05744121210, è rispondente ai dettati normativi contenuti nel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  <w:t>Il candidato ha superato il test con votazione [VOTO] e la Segreteria Didattica di R&amp;B Consulting ha provveduto a rilasciare l’attestato in formato digitale ai sensi dell’art. 90 del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7">
            <wp:simplePos x="0" y="0"/>
            <wp:positionH relativeFrom="column">
              <wp:posOffset>3360420</wp:posOffset>
            </wp:positionH>
            <wp:positionV relativeFrom="paragraph">
              <wp:posOffset>102870</wp:posOffset>
            </wp:positionV>
            <wp:extent cx="3012440" cy="77660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0"/>
        </w:rPr>
        <w:t>L</w:t>
      </w:r>
      <w:r>
        <w:rPr>
          <w:sz w:val="26"/>
          <w:szCs w:val="20"/>
        </w:rPr>
        <w:t>ì [TODAY], Roma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  <w:t xml:space="preserve">                        </w:t>
      </w:r>
      <w:r>
        <w:rPr>
          <w:i/>
          <w:sz w:val="28"/>
          <w:szCs w:val="28"/>
          <w:lang w:val="en-US" w:eastAsia="en-US"/>
        </w:rPr>
        <w:t>Giuseppe Russo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>*</w:t>
      </w:r>
      <w:r>
        <w:rPr/>
        <w:t xml:space="preserve"> </w:t>
      </w:r>
      <w:r>
        <w:rPr>
          <w:i/>
          <w:szCs w:val="26"/>
          <w:lang w:val="en-US" w:eastAsia="en-US"/>
        </w:rPr>
        <w:t>Corso</w:t>
      </w:r>
      <w:r>
        <w:rPr/>
        <w:t xml:space="preserve"> </w:t>
      </w:r>
      <w:r>
        <w:rPr>
          <w:i/>
          <w:szCs w:val="26"/>
          <w:lang w:val="en-US" w:eastAsia="en-US"/>
        </w:rPr>
        <w:t xml:space="preserve">aggiornato al D.Lgs. n. 74 del 2015, alla Direttiva 2016/97/UE (IDD),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al Regolamento UE 2016/679 (GDPR), al Provvedimento n. 58 del 2017,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al Regolamento IVASS n. 44 del 2019, al Regolamento IVASS n. 40 del 2018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>(modificato e integrato dal Provvedimento IVASS n. 97 del 2020) e al Provvedimento n. 45 del 2020:</w:t>
      </w:r>
    </w:p>
    <w:p>
      <w:pPr>
        <w:pStyle w:val="Normal"/>
        <w:jc w:val="both"/>
        <w:rPr>
          <w:szCs w:val="22"/>
        </w:rPr>
      </w:pPr>
      <w:r>
        <w:rPr>
          <w:sz w:val="28"/>
          <w:szCs w:val="28"/>
          <w:lang w:val="en-US" w:eastAsia="en-US"/>
        </w:rPr>
        <w:t xml:space="preserve">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Area contrattuale e prodotti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Condizioni contrattuali delle polizze danni (coperture, costi ed esclusioni), compresi i rischi accessori coperti con tali polizze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Condizioni contrattuali delle polizze vita (coperture, costi ed esclusioni), compresi i benefici garantiti e i rischi accessori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Valutazione delle esigenze dei consumatori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Valutazione dei vantaggi e degli svantaggi delle diverse opzioni di investimento per gli assicurati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Valutazione dei rischi finanziari sostenuti dagli assicurati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ListParagraph"/>
        <w:ind w:left="1985" w:right="850" w:hanging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4"/>
        </w:numPr>
        <w:ind w:left="128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Area giuridica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Solvency II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" w:ascii="Times New Roman" w:hAnsi="Times New Roman"/>
          <w:sz w:val="24"/>
        </w:rPr>
        <w:t>Impresa di assicurazione - condizioni di accesso e di esercizio e regime di operatività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" w:ascii="Times New Roman" w:hAnsi="Times New Roman"/>
          <w:sz w:val="24"/>
        </w:rPr>
        <w:t>Impresa di riassicurazione - condizioni di accesso e di esercizio e regime di operatività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Controlli sull’impresa di assicurazione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Norme che disciplinano la distribuzione dei prodotti assicurativi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" w:ascii="Times New Roman" w:hAnsi="Times New Roman"/>
          <w:sz w:val="24"/>
        </w:rPr>
        <w:t>Intermediazione assicurativa e riassicurativa - condizioni di accesso e di esercizio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" w:ascii="Times New Roman" w:hAnsi="Times New Roman"/>
          <w:sz w:val="24"/>
        </w:rPr>
        <w:t>Disciplina normativa in materia di POG e regole di comportamento per gli intermediari assicurativi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Sanzioni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Conoscenza degli standard di etica professionale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Contratto di assicurazione e di riassicurazione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" w:ascii="Times New Roman" w:hAnsi="Times New Roman"/>
          <w:sz w:val="24"/>
        </w:rPr>
        <w:t>Norme in materia di protezione e tutela del consumatore e Codice del consumo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Antiriciclaggio e contrasto al finanziamento del terrorismo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Mifid 2 e Regomento Priips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Psd 2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" w:ascii="Times New Roman" w:hAnsi="Times New Roman"/>
          <w:sz w:val="24"/>
        </w:rPr>
        <w:t>Norme tributarie, sociali e del lavoro pertinenti alla distribuzione dei prodotti assicurativi</w:t>
      </w:r>
    </w:p>
    <w:p>
      <w:pPr>
        <w:pStyle w:val="ListParagraph"/>
        <w:ind w:left="2007" w:right="850" w:hanging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ind w:left="2007" w:right="850" w:hanging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Normativa in materia di protezione dei dati personali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Vigilanza sulle imprese e sugli intermediari</w:t>
      </w:r>
    </w:p>
    <w:p>
      <w:pPr>
        <w:pStyle w:val="ListParagraph"/>
        <w:ind w:left="1287" w:right="850" w:hanging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4"/>
        </w:numPr>
        <w:ind w:left="128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Area tecnica assicurativa e riassicurativa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Classificazione per rami di attività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Principali tipologie di coperture assicurative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Assicurazioni contro i danni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Assicurazioni obbligatorie e novità nel settore rc auto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Principali tipologie di coperture riassicurative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Elementi tariffari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Elementi di tecniche di analisi dei rischi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Trattamento fiscale dei vari tipi di polizze vita e prodotti pensionistici</w:t>
      </w:r>
    </w:p>
    <w:p>
      <w:pPr>
        <w:pStyle w:val="Normal"/>
        <w:ind w:left="360" w:right="850" w:hanging="0"/>
        <w:jc w:val="both"/>
        <w:rPr>
          <w:rFonts w:ascii="Times New Roman" w:hAnsi="Times New Roman" w:eastAsia="Calibri" w:cs="Times New Roman"/>
          <w:sz w:val="24"/>
          <w:szCs w:val="22"/>
        </w:rPr>
      </w:pPr>
      <w:r>
        <w:rPr>
          <w:rFonts w:eastAsia="Calibri" w:cs="Times New Roman"/>
          <w:sz w:val="24"/>
          <w:szCs w:val="22"/>
        </w:rPr>
      </w:r>
    </w:p>
    <w:p>
      <w:pPr>
        <w:pStyle w:val="ListParagraph"/>
        <w:numPr>
          <w:ilvl w:val="0"/>
          <w:numId w:val="4"/>
        </w:numPr>
        <w:ind w:left="128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/>
      </w:pPr>
      <w:r>
        <w:rPr>
          <w:rFonts w:eastAsia="Calibri"/>
          <w:szCs w:val="22"/>
          <w:lang w:eastAsia="en-US"/>
        </w:rPr>
        <w:t>Ciclo operativo ed economico delle imprese di assicurazione e riassicurazione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Elementi di contabilità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/>
      </w:pPr>
      <w:r>
        <w:rPr>
          <w:rFonts w:eastAsia="Calibri"/>
          <w:szCs w:val="22"/>
          <w:lang w:eastAsia="en-US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/>
      </w:pPr>
      <w:r>
        <w:rPr>
          <w:rFonts w:eastAsia="Calibri"/>
          <w:szCs w:val="22"/>
          <w:lang w:eastAsia="en-US"/>
        </w:rPr>
        <w:t>Programmazione, analisi e controllo di gestione dell’intermediario assicurativo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Gestione dei reclami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Sistemi alternativi di risoluzione delle liti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Gestione dei sinistri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Gestione dei rapporti con il cliente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szCs w:val="22"/>
        </w:rPr>
      </w:pPr>
      <w:r>
        <w:rPr>
          <w:rFonts w:eastAsia="Calibri"/>
          <w:szCs w:val="22"/>
          <w:lang w:eastAsia="en-US"/>
        </w:rPr>
        <w:t>Marketing e tecniche di comunicazione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szCs w:val="22"/>
        </w:rPr>
      </w:pPr>
      <w:r>
        <w:rPr/>
        <w:t>Capacità di ascoltare e decodificare i bisogni della clientela</w:t>
      </w:r>
    </w:p>
    <w:p>
      <w:pPr>
        <w:pStyle w:val="Normal"/>
        <w:ind w:left="1985" w:right="850" w:hanging="0"/>
        <w:jc w:val="both"/>
        <w:rPr>
          <w:szCs w:val="22"/>
        </w:rPr>
      </w:pPr>
      <w:r>
        <w:rPr>
          <w:szCs w:val="22"/>
        </w:rPr>
      </w:r>
    </w:p>
    <w:p>
      <w:pPr>
        <w:pStyle w:val="ListParagraph"/>
        <w:numPr>
          <w:ilvl w:val="0"/>
          <w:numId w:val="4"/>
        </w:numPr>
        <w:ind w:left="128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Area informatica</w:t>
      </w:r>
    </w:p>
    <w:p>
      <w:pPr>
        <w:pStyle w:val="ListParagraph"/>
        <w:numPr>
          <w:ilvl w:val="0"/>
          <w:numId w:val="6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Strumenti di Office Automation</w:t>
      </w:r>
    </w:p>
    <w:p>
      <w:pPr>
        <w:pStyle w:val="ListParagraph"/>
        <w:numPr>
          <w:ilvl w:val="0"/>
          <w:numId w:val="6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Navigazione web e utilizzo di internet</w:t>
      </w:r>
    </w:p>
    <w:p>
      <w:pPr>
        <w:pStyle w:val="ListParagraph"/>
        <w:numPr>
          <w:ilvl w:val="0"/>
          <w:numId w:val="6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Applicazioni/procedure e altre tecnologie predisposte dall’impresa/e con cui l’intermediario opera</w:t>
      </w:r>
    </w:p>
    <w:p>
      <w:pPr>
        <w:pStyle w:val="ListParagraph"/>
        <w:numPr>
          <w:ilvl w:val="0"/>
          <w:numId w:val="6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Sicurezza informatica e protezione dei dati (durata 6h)</w:t>
      </w:r>
    </w:p>
    <w:p>
      <w:pPr>
        <w:pStyle w:val="Normal"/>
        <w:spacing w:lineRule="auto" w:line="276"/>
        <w:ind w:right="850" w:hanging="0"/>
        <w:rPr>
          <w:rFonts w:ascii="Times New Roman" w:hAnsi="Times New Roman" w:cs="Times New Roman"/>
          <w:sz w:val="22"/>
          <w:szCs w:val="28"/>
          <w:lang w:val="en-US" w:eastAsia="en-US"/>
        </w:rPr>
      </w:pPr>
      <w:r>
        <w:rPr>
          <w:rFonts w:cs="Times New Roman"/>
          <w:sz w:val="22"/>
          <w:szCs w:val="28"/>
          <w:lang w:val="en-US" w:eastAsia="en-US"/>
        </w:rPr>
      </w:r>
    </w:p>
    <w:p>
      <w:pPr>
        <w:pStyle w:val="Normal"/>
        <w:numPr>
          <w:ilvl w:val="0"/>
          <w:numId w:val="0"/>
        </w:numPr>
        <w:spacing w:lineRule="auto" w:line="360"/>
        <w:jc w:val="both"/>
        <w:outlineLvl w:val="0"/>
        <w:rPr>
          <w:rFonts w:ascii="Arial" w:hAnsi="Arial" w:cs="Arial"/>
          <w:b/>
          <w:b/>
          <w:sz w:val="22"/>
          <w:szCs w:val="28"/>
          <w:lang w:val="en-US" w:eastAsia="en-US"/>
        </w:rPr>
      </w:pPr>
      <w:r>
        <w:rPr>
          <w:rFonts w:cs="Arial" w:ascii="Arial" w:hAnsi="Arial"/>
          <w:b/>
          <w:sz w:val="22"/>
          <w:szCs w:val="28"/>
          <w:lang w:val="en-US" w:eastAsia="en-US"/>
        </w:rPr>
      </w:r>
    </w:p>
    <w:p>
      <w:pPr>
        <w:pStyle w:val="Normal"/>
        <w:spacing w:lineRule="auto" w:line="276"/>
        <w:ind w:right="283" w:hanging="0"/>
        <w:rPr>
          <w:rFonts w:ascii="Arial" w:hAnsi="Arial" w:cs="Arial"/>
          <w:b/>
          <w:b/>
          <w:szCs w:val="28"/>
          <w:lang w:val="en-US" w:eastAsia="en-US"/>
        </w:rPr>
      </w:pPr>
      <w:r>
        <w:rPr>
          <w:rFonts w:cs="Arial" w:ascii="Arial" w:hAnsi="Arial"/>
          <w:b/>
          <w:szCs w:val="28"/>
          <w:lang w:val="en-US" w:eastAsia="en-US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an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  <w:rPr/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7">
    <w:lvl w:ilvl="0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lang w:val="en-US" w:eastAsia="en-US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Vani" w:hAnsi="Vani" w:cs="Vani"/>
      <w:sz w:val="24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Vani" w:hAnsi="Vani" w:eastAsia="Calibri" w:cs="Vani"/>
      <w:szCs w:val="22"/>
      <w:lang w:eastAsia="en-U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Times New Roman" w:hAnsi="Times New Roman" w:eastAsia="Calibri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eastAsia="Calibri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Vani" w:hAnsi="Vani" w:cs="Vani"/>
      <w:sz w:val="24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rFonts w:ascii="Times New Roman" w:hAnsi="Times New Roman" w:eastAsia="Calibri" w:cs="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Vani" w:hAnsi="Vani" w:cs="Vani"/>
      <w:sz w:val="24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eastAsia="Times New Roman" w:cs="Times New Roman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Times New Roman" w:hAnsi="Times New Roman" w:eastAsia="Calibri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Times New Roman" w:hAnsi="Times New Roman" w:eastAsia="Calibri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Vani" w:hAnsi="Vani" w:cs="Vani"/>
      <w:sz w:val="24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lang w:val="en-US" w:eastAsia="en-US"/>
    </w:rPr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  <w:jc w:val="center"/>
    </w:pPr>
    <w:rPr>
      <w:rFonts w:ascii="Calibri" w:hAnsi="Calibri" w:eastAsia="Calibri" w:cs="Calibri"/>
      <w:sz w:val="22"/>
      <w:szCs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2018-02-15T14:08:00Z</dcterms:created>
  <dc:creator>A</dc:creator>
  <dc:description/>
  <cp:keywords/>
  <dc:language>en-US</dc:language>
  <cp:lastModifiedBy>Employee</cp:lastModifiedBy>
  <cp:lastPrinted>2010-10-29T13:21:00Z</cp:lastPrinted>
  <dcterms:modified xsi:type="dcterms:W3CDTF">2023-02-14T13:40:00Z</dcterms:modified>
  <cp:revision>16</cp:revision>
  <dc:subject/>
  <dc:title>                                </dc:title>
</cp:coreProperties>
</file>