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wmf" ContentType="image/x-wmf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540" w:right="-54" w:hanging="0"/>
        <w:jc w:val="center"/>
        <w:rPr>
          <w:lang w:val="en-US" w:eastAsia="en-US"/>
        </w:rPr>
      </w:pPr>
      <w:r>
        <w:rPr>
          <w:lang w:val="en-US" w:eastAsia="en-US"/>
        </w:rPr>
        <w:t xml:space="preserve">                            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Attestato di Formazione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Si certifica che</w:t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/>
      </w:pPr>
      <w:bookmarkStart w:id="0" w:name="OLE_LINK3"/>
      <w:bookmarkStart w:id="1" w:name="OLE_LINK2"/>
      <w:bookmarkStart w:id="2" w:name="OLE_LINK1"/>
      <w:r>
        <w:rPr>
          <w:i/>
          <w:sz w:val="72"/>
          <w:szCs w:val="72"/>
          <w:lang w:val="en-US" w:eastAsia="en-US"/>
        </w:rPr>
        <w:t>Firstname Lastname</w:t>
      </w:r>
      <w:bookmarkEnd w:id="0"/>
      <w:bookmarkEnd w:id="1"/>
      <w:bookmarkEnd w:id="2"/>
    </w:p>
    <w:p>
      <w:pPr>
        <w:pStyle w:val="Normal"/>
        <w:ind w:left="-539" w:right="-57" w:hanging="0"/>
        <w:jc w:val="center"/>
        <w:rPr>
          <w:i/>
          <w:i/>
          <w:sz w:val="20"/>
          <w:szCs w:val="72"/>
          <w:lang w:val="en-US" w:eastAsia="en-US"/>
        </w:rPr>
      </w:pPr>
      <w:r>
        <w:rPr>
          <w:i/>
          <w:sz w:val="20"/>
          <w:szCs w:val="72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20"/>
          <w:lang w:val="en-US" w:eastAsia="en-US"/>
        </w:rPr>
      </w:pPr>
      <w:r>
        <w:rPr>
          <w:i/>
          <w:sz w:val="52"/>
          <w:szCs w:val="52"/>
          <w:lang w:val="en-US" w:eastAsia="en-US"/>
        </w:rPr>
        <w:t>username: idst</w:t>
      </w:r>
    </w:p>
    <w:p>
      <w:pPr>
        <w:pStyle w:val="Normal"/>
        <w:ind w:left="-539" w:right="-57" w:hanging="0"/>
        <w:jc w:val="center"/>
        <w:rPr>
          <w:i/>
          <w:i/>
          <w:sz w:val="28"/>
          <w:lang w:val="en-US" w:eastAsia="en-US"/>
        </w:rPr>
      </w:pPr>
      <w:r>
        <w:rPr>
          <w:i/>
          <w:sz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ha completato con esito positivo il</w:t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</w:r>
    </w:p>
    <w:p>
      <w:pPr>
        <w:pStyle w:val="Normal"/>
        <w:autoSpaceDE w:val="false"/>
        <w:jc w:val="center"/>
        <w:rPr/>
      </w:pPr>
      <w:r>
        <w:rPr>
          <w:rFonts w:cs="Verdana" w:ascii="Verdana" w:hAnsi="Verdana"/>
          <w:b/>
          <w:bCs/>
          <w:sz w:val="40"/>
          <w:szCs w:val="40"/>
        </w:rPr>
        <w:t xml:space="preserve">CORSO 60H </w:t>
      </w:r>
    </w:p>
    <w:p>
      <w:pPr>
        <w:pStyle w:val="Normal"/>
        <w:ind w:left="-539" w:right="-57" w:hanging="0"/>
        <w:jc w:val="center"/>
        <w:rPr>
          <w:rFonts w:ascii="Verdana" w:hAnsi="Verdana" w:cs="Verdana"/>
          <w:b/>
          <w:b/>
          <w:bCs/>
          <w:sz w:val="40"/>
          <w:szCs w:val="40"/>
        </w:rPr>
      </w:pPr>
      <w:r>
        <w:rPr>
          <w:rFonts w:cs="Verdana" w:ascii="Verdana" w:hAnsi="Verdana"/>
          <w:b/>
          <w:bCs/>
          <w:sz w:val="40"/>
          <w:szCs w:val="40"/>
        </w:rPr>
        <w:t>DI PRIMA FORMAZIONE PROFESSIONALE</w:t>
      </w:r>
    </w:p>
    <w:p>
      <w:pPr>
        <w:pStyle w:val="Normal"/>
        <w:ind w:left="-539" w:right="-57" w:hanging="0"/>
        <w:jc w:val="center"/>
        <w:rPr>
          <w:rFonts w:ascii="Verdana" w:hAnsi="Verdana" w:cs="Verdana"/>
          <w:sz w:val="40"/>
          <w:szCs w:val="40"/>
        </w:rPr>
      </w:pPr>
      <w:r>
        <w:rPr>
          <w:rFonts w:cs="Verdana" w:ascii="Verdana" w:hAnsi="Verdana"/>
          <w:sz w:val="40"/>
          <w:szCs w:val="40"/>
        </w:rPr>
        <w:t>ai sensi del Regolamento IVASS n. 40/2018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18"/>
          <w:szCs w:val="18"/>
          <w:lang w:val="en-US" w:eastAsia="en-US"/>
        </w:rPr>
      </w:pPr>
      <w:r>
        <w:rPr>
          <w:rFonts w:cs="Verdana" w:ascii="Verdana" w:hAnsi="Verdana"/>
          <w:sz w:val="18"/>
          <w:szCs w:val="18"/>
        </w:rPr>
        <w:t>(Valido anche ai sensi della formazione obbligatoria sulla normativa antiriciclaggio prevista dalla Legge 231/07)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a cura dell’</w:t>
      </w:r>
      <w:r>
        <w:rPr>
          <w:b/>
          <w:i/>
          <w:sz w:val="28"/>
          <w:szCs w:val="28"/>
          <w:lang w:val="en-US" w:eastAsia="en-US"/>
        </w:rPr>
        <w:t>Avv. Giuseppe Russo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left="-539" w:right="425" w:firstLine="539"/>
        <w:rPr/>
      </w:pPr>
      <w:r>
        <w:rPr>
          <w:b/>
        </w:rPr>
        <w:t xml:space="preserve">Ore di docenza impartite: </w:t>
      </w:r>
      <w:r>
        <w:rPr/>
        <w:t>60 ore in modalità di e-learning</w:t>
      </w:r>
    </w:p>
    <w:p>
      <w:pPr>
        <w:pStyle w:val="Normal"/>
        <w:ind w:right="425" w:hanging="0"/>
        <w:rPr/>
      </w:pPr>
      <w:r>
        <w:rPr/>
      </w:r>
    </w:p>
    <w:p>
      <w:pPr>
        <w:pStyle w:val="Normal"/>
        <w:ind w:right="425" w:hanging="0"/>
        <w:jc w:val="both"/>
        <w:rPr>
          <w:i/>
          <w:i/>
          <w:lang w:val="en-US" w:eastAsia="en-US"/>
        </w:rPr>
      </w:pPr>
      <w:r>
        <w:rPr>
          <w:b/>
          <w:lang w:val="en-US" w:eastAsia="en-US"/>
        </w:rPr>
        <w:t xml:space="preserve">Aree tematiche trattate </w:t>
      </w:r>
      <w:r>
        <w:rPr>
          <w:i/>
          <w:lang w:val="en-US" w:eastAsia="en-US"/>
        </w:rPr>
        <w:t>aggiornate al D.Lgs. n. 74 del 2015, alla Direttiva 2016/97/UE (IDD), al Regolamento UE 2016/679 (GDPR), al Provvedimento n. 58 del 2017, al Regolamento IVASS n. 44 del 2019, al Regolamento IVASS n. 40 del 2018 (modificato e integrato dal Provvedimento IVASS n. 97 del 2020) e al Provvedimento n. 45 del 2020</w:t>
      </w:r>
      <w:r>
        <w:rPr>
          <w:lang w:val="en-US" w:eastAsia="en-US"/>
        </w:rPr>
        <w:t>: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-179" w:leader="none"/>
        </w:tabs>
        <w:ind w:left="709" w:right="425" w:hanging="425"/>
        <w:jc w:val="both"/>
        <w:rPr/>
      </w:pPr>
      <w:r>
        <w:rPr>
          <w:lang w:val="en-US" w:eastAsia="en-US"/>
        </w:rPr>
        <w:t xml:space="preserve">Area contrattuale e prodotti. 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-179" w:leader="none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Area giuridica.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-179" w:leader="none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Area tecnica assicurativa e riassicurativa.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-179" w:leader="none"/>
        </w:tabs>
        <w:ind w:left="284" w:right="425" w:hanging="0"/>
        <w:jc w:val="both"/>
        <w:rPr/>
      </w:pPr>
      <w:r>
        <w:rPr>
          <w:lang w:val="en-US" w:eastAsia="en-US"/>
        </w:rPr>
        <w:t xml:space="preserve">Area amministrativa e gestionale. 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709" w:leader="none"/>
        </w:tabs>
        <w:ind w:left="669" w:right="425" w:hanging="360"/>
        <w:jc w:val="both"/>
        <w:rPr>
          <w:lang w:val="en-US" w:eastAsia="en-US"/>
        </w:rPr>
      </w:pPr>
      <w:r>
        <w:rPr>
          <w:lang w:val="en-US" w:eastAsia="en-US"/>
        </w:rPr>
        <w:t>Area informatica.</w:t>
      </w:r>
    </w:p>
    <w:p>
      <w:pPr>
        <w:pStyle w:val="Normal"/>
        <w:ind w:left="284" w:right="425" w:hanging="0"/>
        <w:jc w:val="both"/>
        <w:rPr>
          <w:sz w:val="22"/>
          <w:lang w:val="en-US" w:eastAsia="en-US"/>
        </w:rPr>
      </w:pPr>
      <w:r>
        <w:rPr>
          <w:sz w:val="22"/>
          <w:lang w:val="en-US" w:eastAsia="en-US"/>
        </w:rPr>
      </w:r>
    </w:p>
    <w:p>
      <w:pPr>
        <w:pStyle w:val="Normal"/>
        <w:ind w:left="-539" w:right="425" w:firstLine="539"/>
        <w:rPr/>
      </w:pPr>
      <w:r>
        <w:rPr>
          <w:b/>
          <w:bCs/>
        </w:rPr>
        <w:t xml:space="preserve">Esito del test di verifica delle conoscenze acquisite: </w:t>
      </w:r>
      <w:r>
        <w:rPr/>
        <w:t>Positivo</w:t>
      </w:r>
    </w:p>
    <w:p>
      <w:pPr>
        <w:pStyle w:val="Normal"/>
        <w:ind w:left="-539" w:right="425" w:firstLine="539"/>
        <w:rPr/>
      </w:pPr>
      <w:r>
        <w:rPr/>
      </w:r>
    </w:p>
    <w:p>
      <w:pPr>
        <w:pStyle w:val="Normal"/>
        <w:ind w:right="425" w:hanging="0"/>
        <w:rPr>
          <w:lang w:val="en-US" w:eastAsia="en-US"/>
        </w:rPr>
      </w:pPr>
      <w:r>
        <w:rPr>
          <w:b/>
          <w:lang w:val="en-US" w:eastAsia="en-US"/>
        </w:rPr>
        <w:t xml:space="preserve">Coordinatore scientifico dei conteuti del corso: </w:t>
      </w:r>
      <w:r>
        <w:rPr>
          <w:lang w:val="en-US" w:eastAsia="en-US"/>
        </w:rPr>
        <w:t>Prof. Avv. Giuseppe Russo</w:t>
      </w:r>
    </w:p>
    <w:p>
      <w:pPr>
        <w:pStyle w:val="Normal"/>
        <w:ind w:left="-539" w:right="425" w:firstLine="539"/>
        <w:rPr/>
      </w:pPr>
      <w:r>
        <w:rPr>
          <w:b/>
          <w:lang w:val="en-US" w:eastAsia="en-US"/>
        </w:rPr>
        <w:t>Docenti:</w:t>
      </w:r>
      <w:r>
        <w:rPr>
          <w:lang w:val="en-US" w:eastAsia="en-US"/>
        </w:rPr>
        <w:t xml:space="preserve"> Prof. Avv. Giuseppe Russo - Avv. C. Gugliotta - Avv. Angela Sgueglia </w:t>
      </w:r>
    </w:p>
    <w:p>
      <w:pPr>
        <w:pStyle w:val="Normal"/>
        <w:ind w:right="425" w:hanging="0"/>
        <w:rPr/>
      </w:pPr>
      <w:r>
        <w:rPr>
          <w:i/>
          <w:sz w:val="22"/>
          <w:szCs w:val="28"/>
          <w:lang w:val="en-US" w:eastAsia="en-US"/>
        </w:rPr>
        <w:t>Il Coordinatore Scientifico e la docente hanno maturato una comprovata esperienza oltre che quinquennale nelle materie di cui alla lettera a) comma 3 art. 96 del Regolamento IVASS n. 40/2018</w:t>
      </w:r>
    </w:p>
    <w:p>
      <w:pPr>
        <w:pStyle w:val="Normal"/>
        <w:ind w:left="-539" w:right="425" w:firstLine="539"/>
        <w:rPr>
          <w:sz w:val="28"/>
        </w:rPr>
      </w:pPr>
      <w:r>
        <w:rPr>
          <w:sz w:val="28"/>
        </w:rPr>
      </w:r>
    </w:p>
    <w:p>
      <w:pPr>
        <w:pStyle w:val="Normal"/>
        <w:ind w:left="-539" w:right="425" w:firstLine="539"/>
        <w:rPr>
          <w:sz w:val="28"/>
        </w:rPr>
      </w:pPr>
      <w:r>
        <w:rPr>
          <w:sz w:val="28"/>
        </w:rPr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  <w:t>Roma, lì DATECERT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rPr>
          <w:b/>
          <w:b/>
          <w:i/>
          <w:i/>
          <w:sz w:val="28"/>
          <w:szCs w:val="28"/>
          <w:lang w:val="en-US" w:eastAsia="en-US"/>
        </w:rPr>
      </w:pPr>
      <w:r>
        <w:drawing>
          <wp:anchor behindDoc="1" distT="0" distB="0" distL="114935" distR="114935" simplePos="0" locked="0" layoutInCell="1" allowOverlap="1" relativeHeight="6">
            <wp:simplePos x="0" y="0"/>
            <wp:positionH relativeFrom="column">
              <wp:posOffset>4135120</wp:posOffset>
            </wp:positionH>
            <wp:positionV relativeFrom="paragraph">
              <wp:posOffset>163195</wp:posOffset>
            </wp:positionV>
            <wp:extent cx="2691765" cy="66611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765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28"/>
          <w:szCs w:val="28"/>
          <w:lang w:val="en-US" w:eastAsia="en-US"/>
        </w:rPr>
        <w:t>F</w:t>
      </w:r>
      <w:r>
        <w:rPr>
          <w:b/>
          <w:i/>
          <w:sz w:val="28"/>
          <w:szCs w:val="28"/>
          <w:lang w:val="en-US" w:eastAsia="en-US"/>
        </w:rPr>
        <w:t>irma del Partecipante</w:t>
        <w:tab/>
        <w:tab/>
        <w:tab/>
        <w:tab/>
        <w:tab/>
        <w:tab/>
        <w:tab/>
        <w:t>Firma del Responsabile</w:t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  <w:tab/>
      </w:r>
    </w:p>
    <w:p>
      <w:pPr>
        <w:pStyle w:val="Normal"/>
        <w:ind w:right="283" w:hanging="0"/>
        <w:jc w:val="center"/>
        <w:rPr>
          <w:b/>
          <w:b/>
          <w:i/>
          <w:i/>
          <w:sz w:val="28"/>
          <w:szCs w:val="40"/>
          <w:u w:val="single"/>
          <w:lang w:val="en-US" w:eastAsia="en-US"/>
        </w:rPr>
      </w:pPr>
      <w:r>
        <w:rPr>
          <w:b/>
          <w:i/>
          <w:sz w:val="28"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Cs w:val="40"/>
          <w:u w:val="single"/>
          <w:lang w:val="en-US" w:eastAsia="en-US"/>
        </w:rPr>
      </w:pPr>
      <w:r>
        <w:rPr>
          <w:b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Verbale delle procedure del test di verifica</w:t>
      </w:r>
    </w:p>
    <w:p>
      <w:pPr>
        <w:pStyle w:val="Normal"/>
        <w:ind w:right="283" w:hanging="0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</w:r>
    </w:p>
    <w:p>
      <w:pPr>
        <w:pStyle w:val="Normal"/>
        <w:ind w:right="283" w:hanging="0"/>
        <w:rPr>
          <w:lang w:val="en-US" w:eastAsia="en-US"/>
        </w:rPr>
      </w:pPr>
      <w:r>
        <w:rPr>
          <w:lang w:val="en-US" w:eastAsia="en-US"/>
        </w:rPr>
        <w:t xml:space="preserve">                     </w:t>
      </w:r>
    </w:p>
    <w:p>
      <w:pPr>
        <w:pStyle w:val="Normal"/>
        <w:spacing w:lineRule="auto" w:line="360"/>
        <w:jc w:val="both"/>
        <w:rPr/>
      </w:pPr>
      <w:r>
        <w:rPr>
          <w:sz w:val="26"/>
          <w:szCs w:val="26"/>
        </w:rPr>
        <w:t xml:space="preserve">Il giorno [DATECOMPLETE] alle ore [ORA] si è svolto il test di verifica finale relativo al corso delle 60h di prima formazione ai fini IVASS del candidato </w:t>
      </w:r>
      <w:bookmarkStart w:id="3" w:name="OLE_LINK5"/>
      <w:bookmarkStart w:id="4" w:name="OLE_LINK4"/>
      <w:r>
        <w:rPr>
          <w:sz w:val="26"/>
          <w:szCs w:val="26"/>
          <w:lang w:val="en-US" w:eastAsia="en-US"/>
        </w:rPr>
        <w:t>Firstname Lastname</w:t>
      </w:r>
      <w:r>
        <w:rPr>
          <w:sz w:val="26"/>
          <w:szCs w:val="26"/>
        </w:rPr>
        <w:t xml:space="preserve"> </w:t>
      </w:r>
      <w:bookmarkEnd w:id="3"/>
      <w:bookmarkEnd w:id="4"/>
      <w:r>
        <w:rPr>
          <w:sz w:val="26"/>
          <w:szCs w:val="26"/>
        </w:rPr>
        <w:t>CF [CF].</w:t>
      </w:r>
    </w:p>
    <w:p>
      <w:pPr>
        <w:pStyle w:val="Normal"/>
        <w:spacing w:lineRule="auto" w:line="360"/>
        <w:jc w:val="both"/>
        <w:rPr>
          <w:sz w:val="26"/>
          <w:szCs w:val="26"/>
        </w:rPr>
      </w:pPr>
      <w:r>
        <w:rPr>
          <w:sz w:val="26"/>
          <w:szCs w:val="26"/>
        </w:rPr>
        <w:t>Lo scrivente Giuseppe Russo, Amministratore Unico della R&amp;B Consulting Srl, con sede legale in via Crescenzio, 25 - 00193 Roma (RM), PI 05744121210, ha delegato a svolgere le funzioni di vigilanza sul corretto svolgimento del test di verifica finale il Delegato __________________.</w:t>
      </w:r>
    </w:p>
    <w:p>
      <w:pPr>
        <w:pStyle w:val="Normal"/>
        <w:spacing w:lineRule="auto" w:line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Il test si è tenuto a _____________, via ______________________. </w:t>
      </w:r>
    </w:p>
    <w:p>
      <w:pPr>
        <w:pStyle w:val="Normal"/>
        <w:spacing w:lineRule="auto" w:line="360"/>
        <w:jc w:val="both"/>
        <w:rPr>
          <w:sz w:val="26"/>
          <w:szCs w:val="26"/>
        </w:rPr>
      </w:pPr>
      <w:r>
        <w:rPr>
          <w:sz w:val="26"/>
          <w:szCs w:val="26"/>
        </w:rPr>
        <w:t>Il candidato si è presentato munito di documento di riconoscimento, con cui il Delegato ha proceduto alle attività di riconoscimento.</w:t>
      </w:r>
    </w:p>
    <w:p>
      <w:pPr>
        <w:pStyle w:val="Normal"/>
        <w:spacing w:lineRule="auto" w:line="360"/>
        <w:jc w:val="both"/>
        <w:rPr>
          <w:sz w:val="26"/>
          <w:szCs w:val="26"/>
        </w:rPr>
      </w:pPr>
      <w:r>
        <w:rPr>
          <w:sz w:val="26"/>
          <w:szCs w:val="26"/>
        </w:rPr>
        <w:t>Una volta lette le istruzioni dello svolgimento del test, il Delegato ha consegnato al candidato il test rispondente alle caratteristiche previste dall’art. 90 del Regolamento IVASS n. 40/2018 e precedentemente inviato per pec dalla Segreteria Didattica di R&amp;B Consulting.</w:t>
      </w:r>
    </w:p>
    <w:p>
      <w:pPr>
        <w:pStyle w:val="Normal"/>
        <w:spacing w:lineRule="auto" w:line="360"/>
        <w:jc w:val="both"/>
        <w:rPr>
          <w:sz w:val="26"/>
          <w:szCs w:val="26"/>
        </w:rPr>
      </w:pPr>
      <w:r>
        <w:rPr>
          <w:sz w:val="26"/>
          <w:szCs w:val="26"/>
        </w:rPr>
        <w:t>Il candidato ha svolto il test somministrato sotto la vigilanza del Delegato, non ricorrendo ad alcun supporto cartaceo e/o elettronico e non utilizzando telefoni cellulari.</w:t>
      </w:r>
    </w:p>
    <w:p>
      <w:pPr>
        <w:pStyle w:val="Normal"/>
        <w:spacing w:lineRule="auto" w:line="360"/>
        <w:jc w:val="both"/>
        <w:rPr/>
      </w:pPr>
      <w:r>
        <w:rPr>
          <w:sz w:val="26"/>
          <w:szCs w:val="26"/>
        </w:rPr>
        <w:t>Ultimato il test, il Delegato ha provveduto ad inviare la documentazione originale (test compilato, foglio presenze ed autocertificazione) all’indirizzo didattica@pec.rbconsulenza.com.</w:t>
      </w:r>
    </w:p>
    <w:p>
      <w:pPr>
        <w:pStyle w:val="Normal"/>
        <w:spacing w:lineRule="auto" w:line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Ricevuta la documentazione, la Segreteria Didattica di R&amp;B Consulting ha provveduto alla correzione del test, da cui risulta che il candidato ha superato il test con votazione __/20 (si allega test svolto) e all’invio dell’attestato. </w:t>
      </w:r>
    </w:p>
    <w:p>
      <w:pPr>
        <w:pStyle w:val="Normal"/>
        <w:spacing w:lineRule="auto" w:line="360"/>
        <w:ind w:right="283" w:hanging="0"/>
        <w:jc w:val="both"/>
        <w:rPr>
          <w:sz w:val="26"/>
          <w:szCs w:val="20"/>
        </w:rPr>
      </w:pPr>
      <w:r>
        <w:rPr>
          <w:sz w:val="26"/>
          <w:szCs w:val="20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drawing>
          <wp:anchor behindDoc="1" distT="0" distB="0" distL="114935" distR="114935" simplePos="0" locked="0" layoutInCell="1" allowOverlap="1" relativeHeight="7">
            <wp:simplePos x="0" y="0"/>
            <wp:positionH relativeFrom="column">
              <wp:posOffset>3360420</wp:posOffset>
            </wp:positionH>
            <wp:positionV relativeFrom="paragraph">
              <wp:posOffset>102870</wp:posOffset>
            </wp:positionV>
            <wp:extent cx="3012440" cy="776605"/>
            <wp:effectExtent l="0" t="0" r="0" b="0"/>
            <wp:wrapNone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44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0"/>
        </w:rPr>
        <w:t>L</w:t>
      </w:r>
      <w:r>
        <w:rPr>
          <w:sz w:val="26"/>
          <w:szCs w:val="20"/>
        </w:rPr>
        <w:t>ì [TODAY], Roma</w:t>
      </w:r>
      <w:r>
        <w:rPr>
          <w:b/>
          <w:i/>
          <w:sz w:val="28"/>
          <w:szCs w:val="28"/>
          <w:lang w:val="en-US" w:eastAsia="en-US"/>
        </w:rPr>
        <w:tab/>
        <w:tab/>
        <w:tab/>
        <w:tab/>
        <w:t xml:space="preserve">                        </w:t>
      </w:r>
      <w:r>
        <w:rPr>
          <w:i/>
          <w:sz w:val="28"/>
          <w:szCs w:val="28"/>
          <w:lang w:val="en-US" w:eastAsia="en-US"/>
        </w:rPr>
        <w:t>Giuseppe Russo</w:t>
      </w:r>
      <w:r>
        <w:rPr>
          <w:b/>
          <w:i/>
          <w:sz w:val="28"/>
          <w:szCs w:val="28"/>
          <w:lang w:val="en-US" w:eastAsia="en-US"/>
        </w:rPr>
        <w:tab/>
        <w:tab/>
        <w:tab/>
        <w:tab/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Programma del corso</w:t>
      </w:r>
    </w:p>
    <w:p>
      <w:pPr>
        <w:pStyle w:val="Normal"/>
        <w:spacing w:lineRule="auto" w:line="276"/>
        <w:ind w:right="283" w:hanging="0"/>
        <w:jc w:val="center"/>
        <w:rPr>
          <w:i/>
          <w:i/>
          <w:szCs w:val="26"/>
          <w:lang w:val="en-US" w:eastAsia="en-US"/>
        </w:rPr>
      </w:pPr>
      <w:r>
        <w:rPr>
          <w:i/>
          <w:szCs w:val="26"/>
          <w:lang w:val="en-US" w:eastAsia="en-US"/>
        </w:rPr>
        <w:t>*</w:t>
      </w:r>
      <w:r>
        <w:rPr/>
        <w:t xml:space="preserve"> </w:t>
      </w:r>
      <w:r>
        <w:rPr>
          <w:i/>
          <w:szCs w:val="26"/>
          <w:lang w:val="en-US" w:eastAsia="en-US"/>
        </w:rPr>
        <w:t>Corso</w:t>
      </w:r>
      <w:r>
        <w:rPr/>
        <w:t xml:space="preserve"> </w:t>
      </w:r>
      <w:r>
        <w:rPr>
          <w:i/>
          <w:szCs w:val="26"/>
          <w:lang w:val="en-US" w:eastAsia="en-US"/>
        </w:rPr>
        <w:t xml:space="preserve">aggiornato al D.Lgs. n. 74 del 2015, alla Direttiva 2016/97/UE (IDD), </w:t>
      </w:r>
    </w:p>
    <w:p>
      <w:pPr>
        <w:pStyle w:val="Normal"/>
        <w:spacing w:lineRule="auto" w:line="276"/>
        <w:ind w:right="283" w:hanging="0"/>
        <w:jc w:val="center"/>
        <w:rPr>
          <w:i/>
          <w:i/>
          <w:szCs w:val="26"/>
          <w:lang w:val="en-US" w:eastAsia="en-US"/>
        </w:rPr>
      </w:pPr>
      <w:r>
        <w:rPr>
          <w:i/>
          <w:szCs w:val="26"/>
          <w:lang w:val="en-US" w:eastAsia="en-US"/>
        </w:rPr>
        <w:t xml:space="preserve">al Regolamento UE 2016/679 (GDPR), al Provvedimento n. 58 del 2017, </w:t>
      </w:r>
    </w:p>
    <w:p>
      <w:pPr>
        <w:pStyle w:val="Normal"/>
        <w:spacing w:lineRule="auto" w:line="276"/>
        <w:ind w:right="283" w:hanging="0"/>
        <w:jc w:val="center"/>
        <w:rPr>
          <w:i/>
          <w:i/>
          <w:szCs w:val="26"/>
          <w:lang w:val="en-US" w:eastAsia="en-US"/>
        </w:rPr>
      </w:pPr>
      <w:r>
        <w:rPr>
          <w:i/>
          <w:szCs w:val="26"/>
          <w:lang w:val="en-US" w:eastAsia="en-US"/>
        </w:rPr>
        <w:t xml:space="preserve">al Regolamento IVASS n. 44 del 2019, al Regolamento IVASS n. 40 del 2018 </w:t>
      </w:r>
    </w:p>
    <w:p>
      <w:pPr>
        <w:pStyle w:val="Normal"/>
        <w:spacing w:lineRule="auto" w:line="276"/>
        <w:ind w:right="283" w:hanging="0"/>
        <w:jc w:val="center"/>
        <w:rPr>
          <w:i/>
          <w:i/>
          <w:szCs w:val="26"/>
          <w:lang w:val="en-US" w:eastAsia="en-US"/>
        </w:rPr>
      </w:pPr>
      <w:r>
        <w:rPr>
          <w:i/>
          <w:szCs w:val="26"/>
          <w:lang w:val="en-US" w:eastAsia="en-US"/>
        </w:rPr>
        <w:t>(modificato e integrato dal Provvedimento IVASS n. 97 del 2020) e al Provvedimento n. 45 del 2020:</w:t>
      </w:r>
    </w:p>
    <w:p>
      <w:pPr>
        <w:pStyle w:val="Normal"/>
        <w:jc w:val="both"/>
        <w:rPr>
          <w:szCs w:val="22"/>
        </w:rPr>
      </w:pPr>
      <w:r>
        <w:rPr>
          <w:sz w:val="28"/>
          <w:szCs w:val="28"/>
          <w:lang w:val="en-US" w:eastAsia="en-US"/>
        </w:rPr>
        <w:t xml:space="preserve"> </w:t>
      </w:r>
    </w:p>
    <w:p>
      <w:pPr>
        <w:pStyle w:val="Paragrafoelenco"/>
        <w:numPr>
          <w:ilvl w:val="0"/>
          <w:numId w:val="4"/>
        </w:numPr>
        <w:jc w:val="both"/>
        <w:rPr>
          <w:rFonts w:ascii="Times New Roman;Times New Roman" w:hAnsi="Times New Roman;Times New Roman" w:cs="Times New Roman;Times New Roman"/>
          <w:sz w:val="24"/>
        </w:rPr>
      </w:pPr>
      <w:r>
        <w:rPr>
          <w:rFonts w:cs="Times New Roman;Times New Roman" w:ascii="Times New Roman;Times New Roman" w:hAnsi="Times New Roman;Times New Roman"/>
          <w:sz w:val="24"/>
        </w:rPr>
        <w:t>Area contrattuale e prodotti</w:t>
      </w:r>
    </w:p>
    <w:p>
      <w:pPr>
        <w:pStyle w:val="Paragrafoelenco"/>
        <w:numPr>
          <w:ilvl w:val="0"/>
          <w:numId w:val="3"/>
        </w:numPr>
        <w:ind w:left="1985" w:right="850" w:hanging="284"/>
        <w:jc w:val="both"/>
        <w:rPr/>
      </w:pPr>
      <w:r>
        <w:rPr>
          <w:rFonts w:cs="Times New Roman;Times New Roman" w:ascii="Times New Roman;Times New Roman" w:hAnsi="Times New Roman;Times New Roman"/>
          <w:sz w:val="24"/>
        </w:rPr>
        <w:t>Condizioni contrattuali delle polizze danni (coperture, costi ed esclusioni), compresi i rischi accessori coperti con tali polizze</w:t>
      </w:r>
    </w:p>
    <w:p>
      <w:pPr>
        <w:pStyle w:val="Paragrafoelenco"/>
        <w:numPr>
          <w:ilvl w:val="0"/>
          <w:numId w:val="3"/>
        </w:numPr>
        <w:ind w:left="1985" w:right="850" w:hanging="284"/>
        <w:jc w:val="both"/>
        <w:rPr/>
      </w:pPr>
      <w:r>
        <w:rPr>
          <w:rFonts w:cs="Times New Roman;Times New Roman" w:ascii="Times New Roman;Times New Roman" w:hAnsi="Times New Roman;Times New Roman"/>
          <w:sz w:val="24"/>
        </w:rPr>
        <w:t>Condizioni contrattuali dei prodotti di investimento assicurativi (coperture, costi ed esclusioni), compresi la conoscenza dei premi netti, i benefici garantiti e non garantiti</w:t>
      </w:r>
    </w:p>
    <w:p>
      <w:pPr>
        <w:pStyle w:val="Paragrafoelenco"/>
        <w:numPr>
          <w:ilvl w:val="0"/>
          <w:numId w:val="3"/>
        </w:numPr>
        <w:ind w:left="1985" w:right="850" w:hanging="284"/>
        <w:jc w:val="both"/>
        <w:rPr/>
      </w:pPr>
      <w:r>
        <w:rPr>
          <w:rFonts w:cs="Times New Roman;Times New Roman" w:ascii="Times New Roman;Times New Roman" w:hAnsi="Times New Roman;Times New Roman"/>
          <w:sz w:val="24"/>
        </w:rPr>
        <w:t>Condizioni contrattuali delle polizze vita (coperture, costi ed esclusioni), compresi i benefici garantiti e i rischi accessori</w:t>
      </w:r>
    </w:p>
    <w:p>
      <w:pPr>
        <w:pStyle w:val="Paragrafoelenco"/>
        <w:numPr>
          <w:ilvl w:val="0"/>
          <w:numId w:val="3"/>
        </w:numPr>
        <w:ind w:left="1985" w:right="850" w:hanging="284"/>
        <w:jc w:val="both"/>
        <w:rPr>
          <w:rFonts w:ascii="Times New Roman;Times New Roman" w:hAnsi="Times New Roman;Times New Roman" w:cs="Times New Roman;Times New Roman"/>
          <w:sz w:val="24"/>
        </w:rPr>
      </w:pPr>
      <w:r>
        <w:rPr>
          <w:rFonts w:cs="Times New Roman;Times New Roman" w:ascii="Times New Roman;Times New Roman" w:hAnsi="Times New Roman;Times New Roman"/>
          <w:sz w:val="24"/>
        </w:rPr>
        <w:t>Valutazione delle esigenze dei consumatori</w:t>
      </w:r>
    </w:p>
    <w:p>
      <w:pPr>
        <w:pStyle w:val="Paragrafoelenco"/>
        <w:numPr>
          <w:ilvl w:val="0"/>
          <w:numId w:val="3"/>
        </w:numPr>
        <w:ind w:left="1985" w:right="850" w:hanging="284"/>
        <w:jc w:val="both"/>
        <w:rPr/>
      </w:pPr>
      <w:r>
        <w:rPr>
          <w:rFonts w:cs="Times New Roman;Times New Roman" w:ascii="Times New Roman;Times New Roman" w:hAnsi="Times New Roman;Times New Roman"/>
          <w:sz w:val="24"/>
        </w:rPr>
        <w:t>Valutazione dei vantaggi e degli svantaggi delle diverse opzioni di investimento per gli assicurati</w:t>
      </w:r>
    </w:p>
    <w:p>
      <w:pPr>
        <w:pStyle w:val="Paragrafoelenco"/>
        <w:numPr>
          <w:ilvl w:val="0"/>
          <w:numId w:val="3"/>
        </w:numPr>
        <w:ind w:left="1985" w:right="850" w:hanging="284"/>
        <w:jc w:val="both"/>
        <w:rPr>
          <w:rFonts w:ascii="Times New Roman;Times New Roman" w:hAnsi="Times New Roman;Times New Roman" w:cs="Times New Roman;Times New Roman"/>
          <w:sz w:val="24"/>
        </w:rPr>
      </w:pPr>
      <w:r>
        <w:rPr>
          <w:rFonts w:cs="Times New Roman;Times New Roman" w:ascii="Times New Roman;Times New Roman" w:hAnsi="Times New Roman;Times New Roman"/>
          <w:sz w:val="24"/>
        </w:rPr>
        <w:t>Valutazione dei rischi finanziari sostenuti dagli assicurati</w:t>
      </w:r>
    </w:p>
    <w:p>
      <w:pPr>
        <w:pStyle w:val="Paragrafoelenco"/>
        <w:numPr>
          <w:ilvl w:val="0"/>
          <w:numId w:val="3"/>
        </w:numPr>
        <w:ind w:left="1985" w:right="850" w:hanging="284"/>
        <w:jc w:val="both"/>
        <w:rPr/>
      </w:pPr>
      <w:r>
        <w:rPr>
          <w:rFonts w:cs="Times New Roman;Times New Roman" w:ascii="Times New Roman;Times New Roman" w:hAnsi="Times New Roman;Times New Roman"/>
          <w:sz w:val="24"/>
        </w:rPr>
        <w:t>Mercato delle assicurazioni e mercato dei prodotti di risparmio e dei servizi finanziari</w:t>
      </w:r>
    </w:p>
    <w:p>
      <w:pPr>
        <w:pStyle w:val="Paragrafoelenco"/>
        <w:numPr>
          <w:ilvl w:val="0"/>
          <w:numId w:val="3"/>
        </w:numPr>
        <w:ind w:left="1985" w:right="850" w:hanging="284"/>
        <w:jc w:val="both"/>
        <w:rPr>
          <w:rFonts w:ascii="Times New Roman;Times New Roman" w:hAnsi="Times New Roman;Times New Roman" w:cs="Times New Roman;Times New Roman"/>
          <w:sz w:val="24"/>
        </w:rPr>
      </w:pPr>
      <w:r>
        <w:rPr>
          <w:rFonts w:cs="Times New Roman;Times New Roman" w:ascii="Times New Roman;Times New Roman" w:hAnsi="Times New Roman;Times New Roman"/>
          <w:sz w:val="24"/>
        </w:rPr>
        <w:t>Organizzazione e benefici garantiti dal sistema pensionistico dello Stato italiano</w:t>
      </w:r>
    </w:p>
    <w:p>
      <w:pPr>
        <w:pStyle w:val="Paragrafoelenco"/>
        <w:ind w:left="1985" w:right="850" w:hanging="0"/>
        <w:jc w:val="both"/>
        <w:rPr>
          <w:rFonts w:ascii="Times New Roman;Times New Roman" w:hAnsi="Times New Roman;Times New Roman" w:cs="Times New Roman;Times New Roman"/>
          <w:sz w:val="24"/>
        </w:rPr>
      </w:pPr>
      <w:r>
        <w:rPr>
          <w:rFonts w:cs="Times New Roman;Times New Roman" w:ascii="Times New Roman;Times New Roman" w:hAnsi="Times New Roman;Times New Roman"/>
          <w:sz w:val="24"/>
        </w:rPr>
      </w:r>
    </w:p>
    <w:p>
      <w:pPr>
        <w:pStyle w:val="Paragrafoelenco"/>
        <w:numPr>
          <w:ilvl w:val="0"/>
          <w:numId w:val="4"/>
        </w:numPr>
        <w:ind w:left="1287" w:right="850" w:hanging="360"/>
        <w:jc w:val="both"/>
        <w:rPr>
          <w:rFonts w:ascii="Times New Roman;Times New Roman" w:hAnsi="Times New Roman;Times New Roman" w:cs="Times New Roman;Times New Roman"/>
          <w:sz w:val="24"/>
        </w:rPr>
      </w:pPr>
      <w:r>
        <w:rPr>
          <w:rFonts w:cs="Times New Roman;Times New Roman" w:ascii="Times New Roman;Times New Roman" w:hAnsi="Times New Roman;Times New Roman"/>
          <w:sz w:val="24"/>
        </w:rPr>
        <w:t>Area giuridica</w:t>
      </w:r>
    </w:p>
    <w:p>
      <w:pPr>
        <w:pStyle w:val="Paragrafoelenco"/>
        <w:numPr>
          <w:ilvl w:val="0"/>
          <w:numId w:val="5"/>
        </w:numPr>
        <w:ind w:left="2007" w:right="850" w:hanging="360"/>
        <w:jc w:val="both"/>
        <w:rPr>
          <w:rFonts w:ascii="Times New Roman;Times New Roman" w:hAnsi="Times New Roman;Times New Roman" w:cs="Times New Roman;Times New Roman"/>
          <w:sz w:val="24"/>
        </w:rPr>
      </w:pPr>
      <w:r>
        <w:rPr>
          <w:rFonts w:cs="Times New Roman;Times New Roman" w:ascii="Times New Roman;Times New Roman" w:hAnsi="Times New Roman;Times New Roman"/>
          <w:sz w:val="24"/>
        </w:rPr>
        <w:t>Solvency II</w:t>
      </w:r>
    </w:p>
    <w:p>
      <w:pPr>
        <w:pStyle w:val="Paragrafoelenco"/>
        <w:numPr>
          <w:ilvl w:val="0"/>
          <w:numId w:val="5"/>
        </w:numPr>
        <w:ind w:left="2007" w:right="850" w:hanging="360"/>
        <w:jc w:val="both"/>
        <w:rPr/>
      </w:pPr>
      <w:r>
        <w:rPr>
          <w:rFonts w:cs="Times New Roman;Times New Roman" w:ascii="Times New Roman;Times New Roman" w:hAnsi="Times New Roman;Times New Roman"/>
          <w:sz w:val="24"/>
        </w:rPr>
        <w:t>Impresa di assicurazione - condizioni di accesso e di esercizio e regime di operatività</w:t>
      </w:r>
    </w:p>
    <w:p>
      <w:pPr>
        <w:pStyle w:val="Paragrafoelenco"/>
        <w:numPr>
          <w:ilvl w:val="0"/>
          <w:numId w:val="5"/>
        </w:numPr>
        <w:ind w:left="2007" w:right="850" w:hanging="360"/>
        <w:jc w:val="both"/>
        <w:rPr/>
      </w:pPr>
      <w:r>
        <w:rPr>
          <w:rFonts w:cs="Times New Roman;Times New Roman" w:ascii="Times New Roman;Times New Roman" w:hAnsi="Times New Roman;Times New Roman"/>
          <w:sz w:val="24"/>
        </w:rPr>
        <w:t>Impresa di riassicurazione - condizioni di accesso e di esercizio e regime di operatività</w:t>
      </w:r>
    </w:p>
    <w:p>
      <w:pPr>
        <w:pStyle w:val="Paragrafoelenco"/>
        <w:numPr>
          <w:ilvl w:val="0"/>
          <w:numId w:val="5"/>
        </w:numPr>
        <w:ind w:left="2007" w:right="850" w:hanging="360"/>
        <w:jc w:val="both"/>
        <w:rPr>
          <w:rFonts w:ascii="Times New Roman;Times New Roman" w:hAnsi="Times New Roman;Times New Roman" w:cs="Times New Roman;Times New Roman"/>
          <w:sz w:val="24"/>
        </w:rPr>
      </w:pPr>
      <w:r>
        <w:rPr>
          <w:rFonts w:cs="Times New Roman;Times New Roman" w:ascii="Times New Roman;Times New Roman" w:hAnsi="Times New Roman;Times New Roman"/>
          <w:sz w:val="24"/>
        </w:rPr>
        <w:t>Controlli sull’impresa di assicurazione</w:t>
      </w:r>
    </w:p>
    <w:p>
      <w:pPr>
        <w:pStyle w:val="Paragrafoelenco"/>
        <w:numPr>
          <w:ilvl w:val="0"/>
          <w:numId w:val="5"/>
        </w:numPr>
        <w:ind w:left="2007" w:right="850" w:hanging="360"/>
        <w:jc w:val="both"/>
        <w:rPr>
          <w:rFonts w:ascii="Times New Roman;Times New Roman" w:hAnsi="Times New Roman;Times New Roman" w:cs="Times New Roman;Times New Roman"/>
          <w:sz w:val="24"/>
        </w:rPr>
      </w:pPr>
      <w:r>
        <w:rPr>
          <w:rFonts w:cs="Times New Roman;Times New Roman" w:ascii="Times New Roman;Times New Roman" w:hAnsi="Times New Roman;Times New Roman"/>
          <w:sz w:val="24"/>
        </w:rPr>
        <w:t>Norme che disciplinano la distribuzione dei prodotti assicurativi</w:t>
      </w:r>
    </w:p>
    <w:p>
      <w:pPr>
        <w:pStyle w:val="Paragrafoelenco"/>
        <w:numPr>
          <w:ilvl w:val="0"/>
          <w:numId w:val="5"/>
        </w:numPr>
        <w:ind w:left="2007" w:right="850" w:hanging="360"/>
        <w:jc w:val="both"/>
        <w:rPr/>
      </w:pPr>
      <w:r>
        <w:rPr>
          <w:rFonts w:cs="Times New Roman;Times New Roman" w:ascii="Times New Roman;Times New Roman" w:hAnsi="Times New Roman;Times New Roman"/>
          <w:sz w:val="24"/>
        </w:rPr>
        <w:t>Intermediazione assicurativa e riassicurativa - condizioni di accesso e di esercizio</w:t>
      </w:r>
    </w:p>
    <w:p>
      <w:pPr>
        <w:pStyle w:val="Paragrafoelenco"/>
        <w:numPr>
          <w:ilvl w:val="0"/>
          <w:numId w:val="5"/>
        </w:numPr>
        <w:ind w:left="2007" w:right="850" w:hanging="360"/>
        <w:jc w:val="both"/>
        <w:rPr/>
      </w:pPr>
      <w:r>
        <w:rPr>
          <w:rFonts w:cs="Times New Roman;Times New Roman" w:ascii="Times New Roman;Times New Roman" w:hAnsi="Times New Roman;Times New Roman"/>
          <w:sz w:val="24"/>
        </w:rPr>
        <w:t>Disciplina normativa in materia di POG e regole di comportamento per gli intermediari assicurativi</w:t>
      </w:r>
    </w:p>
    <w:p>
      <w:pPr>
        <w:pStyle w:val="Paragrafoelenco"/>
        <w:numPr>
          <w:ilvl w:val="0"/>
          <w:numId w:val="5"/>
        </w:numPr>
        <w:ind w:left="2007" w:right="850" w:hanging="360"/>
        <w:jc w:val="both"/>
        <w:rPr>
          <w:rFonts w:ascii="Times New Roman;Times New Roman" w:hAnsi="Times New Roman;Times New Roman" w:cs="Times New Roman;Times New Roman"/>
          <w:sz w:val="24"/>
        </w:rPr>
      </w:pPr>
      <w:r>
        <w:rPr>
          <w:rFonts w:cs="Times New Roman;Times New Roman" w:ascii="Times New Roman;Times New Roman" w:hAnsi="Times New Roman;Times New Roman"/>
          <w:sz w:val="24"/>
        </w:rPr>
        <w:t>Sanzioni</w:t>
      </w:r>
    </w:p>
    <w:p>
      <w:pPr>
        <w:pStyle w:val="Paragrafoelenco"/>
        <w:numPr>
          <w:ilvl w:val="0"/>
          <w:numId w:val="5"/>
        </w:numPr>
        <w:ind w:left="2007" w:right="850" w:hanging="360"/>
        <w:jc w:val="both"/>
        <w:rPr>
          <w:rFonts w:ascii="Times New Roman;Times New Roman" w:hAnsi="Times New Roman;Times New Roman" w:cs="Times New Roman;Times New Roman"/>
          <w:sz w:val="24"/>
        </w:rPr>
      </w:pPr>
      <w:r>
        <w:rPr>
          <w:rFonts w:cs="Times New Roman;Times New Roman" w:ascii="Times New Roman;Times New Roman" w:hAnsi="Times New Roman;Times New Roman"/>
          <w:sz w:val="24"/>
        </w:rPr>
        <w:t>Conoscenza degli standard di etica professionale</w:t>
      </w:r>
    </w:p>
    <w:p>
      <w:pPr>
        <w:pStyle w:val="Paragrafoelenco"/>
        <w:numPr>
          <w:ilvl w:val="0"/>
          <w:numId w:val="5"/>
        </w:numPr>
        <w:ind w:left="2007" w:right="850" w:hanging="360"/>
        <w:jc w:val="both"/>
        <w:rPr>
          <w:rFonts w:ascii="Times New Roman;Times New Roman" w:hAnsi="Times New Roman;Times New Roman" w:cs="Times New Roman;Times New Roman"/>
          <w:sz w:val="24"/>
        </w:rPr>
      </w:pPr>
      <w:r>
        <w:rPr>
          <w:rFonts w:cs="Times New Roman;Times New Roman" w:ascii="Times New Roman;Times New Roman" w:hAnsi="Times New Roman;Times New Roman"/>
          <w:sz w:val="24"/>
        </w:rPr>
        <w:t>Contratto di assicurazione e di riassicurazione</w:t>
      </w:r>
    </w:p>
    <w:p>
      <w:pPr>
        <w:pStyle w:val="Paragrafoelenco"/>
        <w:numPr>
          <w:ilvl w:val="0"/>
          <w:numId w:val="5"/>
        </w:numPr>
        <w:ind w:left="2007" w:right="850" w:hanging="360"/>
        <w:jc w:val="both"/>
        <w:rPr/>
      </w:pPr>
      <w:r>
        <w:rPr>
          <w:rFonts w:cs="Times New Roman;Times New Roman" w:ascii="Times New Roman;Times New Roman" w:hAnsi="Times New Roman;Times New Roman"/>
          <w:sz w:val="24"/>
        </w:rPr>
        <w:t>Norme in materia di protezione e tutela del consumatore e Codice del consumo</w:t>
      </w:r>
    </w:p>
    <w:p>
      <w:pPr>
        <w:pStyle w:val="Paragrafoelenco"/>
        <w:numPr>
          <w:ilvl w:val="0"/>
          <w:numId w:val="5"/>
        </w:numPr>
        <w:ind w:left="2007" w:right="850" w:hanging="360"/>
        <w:jc w:val="both"/>
        <w:rPr>
          <w:rFonts w:ascii="Times New Roman;Times New Roman" w:hAnsi="Times New Roman;Times New Roman" w:cs="Times New Roman;Times New Roman"/>
          <w:sz w:val="24"/>
        </w:rPr>
      </w:pPr>
      <w:r>
        <w:rPr>
          <w:rFonts w:cs="Times New Roman;Times New Roman" w:ascii="Times New Roman;Times New Roman" w:hAnsi="Times New Roman;Times New Roman"/>
          <w:sz w:val="24"/>
        </w:rPr>
        <w:t>Antiriciclaggio e contrasto al finanziamento del terrorismo</w:t>
      </w:r>
    </w:p>
    <w:p>
      <w:pPr>
        <w:pStyle w:val="Paragrafoelenco"/>
        <w:numPr>
          <w:ilvl w:val="0"/>
          <w:numId w:val="5"/>
        </w:numPr>
        <w:ind w:left="2007" w:right="850" w:hanging="360"/>
        <w:jc w:val="both"/>
        <w:rPr>
          <w:rFonts w:ascii="Times New Roman;Times New Roman" w:hAnsi="Times New Roman;Times New Roman" w:cs="Times New Roman;Times New Roman"/>
          <w:sz w:val="24"/>
        </w:rPr>
      </w:pPr>
      <w:r>
        <w:rPr>
          <w:rFonts w:cs="Times New Roman;Times New Roman" w:ascii="Times New Roman;Times New Roman" w:hAnsi="Times New Roman;Times New Roman"/>
          <w:sz w:val="24"/>
        </w:rPr>
        <w:t>Mifid 2 e Regomento Priips</w:t>
      </w:r>
    </w:p>
    <w:p>
      <w:pPr>
        <w:pStyle w:val="Paragrafoelenco"/>
        <w:numPr>
          <w:ilvl w:val="0"/>
          <w:numId w:val="5"/>
        </w:numPr>
        <w:ind w:left="2007" w:right="850" w:hanging="360"/>
        <w:jc w:val="both"/>
        <w:rPr>
          <w:rFonts w:ascii="Times New Roman;Times New Roman" w:hAnsi="Times New Roman;Times New Roman" w:cs="Times New Roman;Times New Roman"/>
          <w:sz w:val="24"/>
        </w:rPr>
      </w:pPr>
      <w:r>
        <w:rPr>
          <w:rFonts w:cs="Times New Roman;Times New Roman" w:ascii="Times New Roman;Times New Roman" w:hAnsi="Times New Roman;Times New Roman"/>
          <w:sz w:val="24"/>
        </w:rPr>
        <w:t>Psd 2</w:t>
      </w:r>
    </w:p>
    <w:p>
      <w:pPr>
        <w:pStyle w:val="Paragrafoelenco"/>
        <w:numPr>
          <w:ilvl w:val="0"/>
          <w:numId w:val="5"/>
        </w:numPr>
        <w:ind w:left="2007" w:right="850" w:hanging="360"/>
        <w:jc w:val="both"/>
        <w:rPr/>
      </w:pPr>
      <w:r>
        <w:rPr>
          <w:rFonts w:cs="Times New Roman;Times New Roman" w:ascii="Times New Roman;Times New Roman" w:hAnsi="Times New Roman;Times New Roman"/>
          <w:sz w:val="24"/>
        </w:rPr>
        <w:t>Norme tributarie, sociali e del lavoro pertinenti alla distribuzione dei prodotti assicurativi</w:t>
      </w:r>
    </w:p>
    <w:p>
      <w:pPr>
        <w:pStyle w:val="Paragrafoelenco"/>
        <w:ind w:left="2007" w:right="850" w:hanging="0"/>
        <w:jc w:val="both"/>
        <w:rPr>
          <w:rFonts w:ascii="Times New Roman;Times New Roman" w:hAnsi="Times New Roman;Times New Roman" w:cs="Times New Roman;Times New Roman"/>
          <w:sz w:val="24"/>
        </w:rPr>
      </w:pPr>
      <w:r>
        <w:rPr>
          <w:rFonts w:cs="Times New Roman;Times New Roman" w:ascii="Times New Roman;Times New Roman" w:hAnsi="Times New Roman;Times New Roman"/>
          <w:sz w:val="24"/>
        </w:rPr>
      </w:r>
    </w:p>
    <w:p>
      <w:pPr>
        <w:pStyle w:val="Paragrafoelenco"/>
        <w:ind w:left="2007" w:right="850" w:hanging="0"/>
        <w:jc w:val="both"/>
        <w:rPr>
          <w:rFonts w:ascii="Times New Roman;Times New Roman" w:hAnsi="Times New Roman;Times New Roman" w:cs="Times New Roman;Times New Roman"/>
          <w:sz w:val="24"/>
        </w:rPr>
      </w:pPr>
      <w:r>
        <w:rPr>
          <w:rFonts w:cs="Times New Roman;Times New Roman" w:ascii="Times New Roman;Times New Roman" w:hAnsi="Times New Roman;Times New Roman"/>
          <w:sz w:val="24"/>
        </w:rPr>
      </w:r>
    </w:p>
    <w:p>
      <w:pPr>
        <w:pStyle w:val="Paragrafoelenco"/>
        <w:numPr>
          <w:ilvl w:val="0"/>
          <w:numId w:val="5"/>
        </w:numPr>
        <w:ind w:left="2007" w:right="850" w:hanging="360"/>
        <w:jc w:val="both"/>
        <w:rPr>
          <w:rFonts w:ascii="Times New Roman;Times New Roman" w:hAnsi="Times New Roman;Times New Roman" w:cs="Times New Roman;Times New Roman"/>
          <w:sz w:val="24"/>
        </w:rPr>
      </w:pPr>
      <w:r>
        <w:rPr>
          <w:rFonts w:cs="Times New Roman;Times New Roman" w:ascii="Times New Roman;Times New Roman" w:hAnsi="Times New Roman;Times New Roman"/>
          <w:sz w:val="24"/>
        </w:rPr>
        <w:t>Normativa in materia di protezione dei dati personali</w:t>
      </w:r>
    </w:p>
    <w:p>
      <w:pPr>
        <w:pStyle w:val="Paragrafoelenco"/>
        <w:numPr>
          <w:ilvl w:val="0"/>
          <w:numId w:val="5"/>
        </w:numPr>
        <w:ind w:left="2007" w:right="850" w:hanging="360"/>
        <w:jc w:val="both"/>
        <w:rPr>
          <w:rFonts w:ascii="Times New Roman;Times New Roman" w:hAnsi="Times New Roman;Times New Roman" w:cs="Times New Roman;Times New Roman"/>
          <w:sz w:val="24"/>
        </w:rPr>
      </w:pPr>
      <w:r>
        <w:rPr>
          <w:rFonts w:cs="Times New Roman;Times New Roman" w:ascii="Times New Roman;Times New Roman" w:hAnsi="Times New Roman;Times New Roman"/>
          <w:sz w:val="24"/>
        </w:rPr>
        <w:t>Vigilanza sulle imprese e sugli intermediari</w:t>
      </w:r>
    </w:p>
    <w:p>
      <w:pPr>
        <w:pStyle w:val="Paragrafoelenco"/>
        <w:ind w:left="1287" w:right="850" w:hanging="0"/>
        <w:jc w:val="both"/>
        <w:rPr>
          <w:rFonts w:ascii="Times New Roman;Times New Roman" w:hAnsi="Times New Roman;Times New Roman" w:cs="Times New Roman;Times New Roman"/>
          <w:sz w:val="24"/>
        </w:rPr>
      </w:pPr>
      <w:r>
        <w:rPr>
          <w:rFonts w:cs="Times New Roman;Times New Roman" w:ascii="Times New Roman;Times New Roman" w:hAnsi="Times New Roman;Times New Roman"/>
          <w:sz w:val="24"/>
        </w:rPr>
      </w:r>
    </w:p>
    <w:p>
      <w:pPr>
        <w:pStyle w:val="Paragrafoelenco"/>
        <w:numPr>
          <w:ilvl w:val="0"/>
          <w:numId w:val="4"/>
        </w:numPr>
        <w:ind w:left="1287" w:right="850" w:hanging="360"/>
        <w:jc w:val="both"/>
        <w:rPr>
          <w:rFonts w:ascii="Times New Roman;Times New Roman" w:hAnsi="Times New Roman;Times New Roman" w:cs="Times New Roman;Times New Roman"/>
          <w:sz w:val="24"/>
        </w:rPr>
      </w:pPr>
      <w:r>
        <w:rPr>
          <w:rFonts w:cs="Times New Roman;Times New Roman" w:ascii="Times New Roman;Times New Roman" w:hAnsi="Times New Roman;Times New Roman"/>
          <w:sz w:val="24"/>
        </w:rPr>
        <w:t>Area tecnica assicurativa e riassicurativa</w:t>
      </w:r>
    </w:p>
    <w:p>
      <w:pPr>
        <w:pStyle w:val="Paragrafoelenco"/>
        <w:numPr>
          <w:ilvl w:val="0"/>
          <w:numId w:val="1"/>
        </w:numPr>
        <w:ind w:left="1985" w:right="850" w:hanging="284"/>
        <w:jc w:val="both"/>
        <w:rPr>
          <w:rFonts w:ascii="Times New Roman;Times New Roman" w:hAnsi="Times New Roman;Times New Roman" w:cs="Times New Roman;Times New Roman"/>
          <w:sz w:val="24"/>
        </w:rPr>
      </w:pPr>
      <w:r>
        <w:rPr>
          <w:rFonts w:cs="Times New Roman;Times New Roman" w:ascii="Times New Roman;Times New Roman" w:hAnsi="Times New Roman;Times New Roman"/>
          <w:sz w:val="24"/>
        </w:rPr>
        <w:t>Classificazione per rami di attività</w:t>
      </w:r>
    </w:p>
    <w:p>
      <w:pPr>
        <w:pStyle w:val="Paragrafoelenco"/>
        <w:numPr>
          <w:ilvl w:val="0"/>
          <w:numId w:val="1"/>
        </w:numPr>
        <w:ind w:left="1985" w:right="850" w:hanging="284"/>
        <w:jc w:val="both"/>
        <w:rPr>
          <w:rFonts w:ascii="Times New Roman;Times New Roman" w:hAnsi="Times New Roman;Times New Roman" w:cs="Times New Roman;Times New Roman"/>
          <w:sz w:val="24"/>
        </w:rPr>
      </w:pPr>
      <w:r>
        <w:rPr>
          <w:rFonts w:cs="Times New Roman;Times New Roman" w:ascii="Times New Roman;Times New Roman" w:hAnsi="Times New Roman;Times New Roman"/>
          <w:sz w:val="24"/>
        </w:rPr>
        <w:t>Principali tipologie di coperture assicurative</w:t>
      </w:r>
    </w:p>
    <w:p>
      <w:pPr>
        <w:pStyle w:val="Paragrafoelenco"/>
        <w:numPr>
          <w:ilvl w:val="0"/>
          <w:numId w:val="1"/>
        </w:numPr>
        <w:ind w:left="1985" w:right="850" w:hanging="284"/>
        <w:jc w:val="both"/>
        <w:rPr>
          <w:rFonts w:ascii="Times New Roman;Times New Roman" w:hAnsi="Times New Roman;Times New Roman" w:cs="Times New Roman;Times New Roman"/>
          <w:sz w:val="24"/>
        </w:rPr>
      </w:pPr>
      <w:r>
        <w:rPr>
          <w:rFonts w:cs="Times New Roman;Times New Roman" w:ascii="Times New Roman;Times New Roman" w:hAnsi="Times New Roman;Times New Roman"/>
          <w:sz w:val="24"/>
        </w:rPr>
        <w:t>Assicurazioni contro i danni</w:t>
      </w:r>
    </w:p>
    <w:p>
      <w:pPr>
        <w:pStyle w:val="Paragrafoelenco"/>
        <w:numPr>
          <w:ilvl w:val="0"/>
          <w:numId w:val="1"/>
        </w:numPr>
        <w:ind w:left="1985" w:right="850" w:hanging="284"/>
        <w:jc w:val="both"/>
        <w:rPr>
          <w:rFonts w:ascii="Times New Roman;Times New Roman" w:hAnsi="Times New Roman;Times New Roman" w:cs="Times New Roman;Times New Roman"/>
          <w:sz w:val="24"/>
        </w:rPr>
      </w:pPr>
      <w:r>
        <w:rPr>
          <w:rFonts w:cs="Times New Roman;Times New Roman" w:ascii="Times New Roman;Times New Roman" w:hAnsi="Times New Roman;Times New Roman"/>
          <w:sz w:val="24"/>
        </w:rPr>
        <w:t>Assicurazioni obbligatorie e novità nel settore rc auto</w:t>
      </w:r>
    </w:p>
    <w:p>
      <w:pPr>
        <w:pStyle w:val="Paragrafoelenco"/>
        <w:numPr>
          <w:ilvl w:val="0"/>
          <w:numId w:val="1"/>
        </w:numPr>
        <w:ind w:left="1985" w:right="850" w:hanging="284"/>
        <w:jc w:val="both"/>
        <w:rPr>
          <w:rFonts w:ascii="Times New Roman;Times New Roman" w:hAnsi="Times New Roman;Times New Roman" w:cs="Times New Roman;Times New Roman"/>
          <w:sz w:val="24"/>
        </w:rPr>
      </w:pPr>
      <w:r>
        <w:rPr>
          <w:rFonts w:cs="Times New Roman;Times New Roman" w:ascii="Times New Roman;Times New Roman" w:hAnsi="Times New Roman;Times New Roman"/>
          <w:sz w:val="24"/>
        </w:rPr>
        <w:t>Principali tipologie di coperture riassicurative</w:t>
      </w:r>
    </w:p>
    <w:p>
      <w:pPr>
        <w:pStyle w:val="Paragrafoelenco"/>
        <w:numPr>
          <w:ilvl w:val="0"/>
          <w:numId w:val="1"/>
        </w:numPr>
        <w:ind w:left="1985" w:right="850" w:hanging="284"/>
        <w:jc w:val="both"/>
        <w:rPr>
          <w:rFonts w:ascii="Times New Roman;Times New Roman" w:hAnsi="Times New Roman;Times New Roman" w:cs="Times New Roman;Times New Roman"/>
          <w:sz w:val="24"/>
        </w:rPr>
      </w:pPr>
      <w:r>
        <w:rPr>
          <w:rFonts w:cs="Times New Roman;Times New Roman" w:ascii="Times New Roman;Times New Roman" w:hAnsi="Times New Roman;Times New Roman"/>
          <w:sz w:val="24"/>
        </w:rPr>
        <w:t>Elementi tariffari</w:t>
      </w:r>
    </w:p>
    <w:p>
      <w:pPr>
        <w:pStyle w:val="Paragrafoelenco"/>
        <w:numPr>
          <w:ilvl w:val="0"/>
          <w:numId w:val="1"/>
        </w:numPr>
        <w:ind w:left="1985" w:right="850" w:hanging="284"/>
        <w:jc w:val="both"/>
        <w:rPr>
          <w:rFonts w:ascii="Times New Roman;Times New Roman" w:hAnsi="Times New Roman;Times New Roman" w:cs="Times New Roman;Times New Roman"/>
          <w:sz w:val="24"/>
        </w:rPr>
      </w:pPr>
      <w:r>
        <w:rPr>
          <w:rFonts w:cs="Times New Roman;Times New Roman" w:ascii="Times New Roman;Times New Roman" w:hAnsi="Times New Roman;Times New Roman"/>
          <w:sz w:val="24"/>
        </w:rPr>
        <w:t>Elementi di tecniche di analisi dei rischi</w:t>
      </w:r>
    </w:p>
    <w:p>
      <w:pPr>
        <w:pStyle w:val="Paragrafoelenco"/>
        <w:numPr>
          <w:ilvl w:val="0"/>
          <w:numId w:val="1"/>
        </w:numPr>
        <w:ind w:left="1985" w:right="850" w:hanging="284"/>
        <w:jc w:val="both"/>
        <w:rPr/>
      </w:pPr>
      <w:r>
        <w:rPr>
          <w:rFonts w:cs="Times New Roman;Times New Roman" w:ascii="Times New Roman;Times New Roman" w:hAnsi="Times New Roman;Times New Roman"/>
          <w:sz w:val="24"/>
        </w:rPr>
        <w:t>Trattamento fiscale dei vari tipi di polizze vita e prodotti pensionistici</w:t>
      </w:r>
    </w:p>
    <w:p>
      <w:pPr>
        <w:pStyle w:val="Normal"/>
        <w:ind w:left="360" w:right="850" w:hanging="0"/>
        <w:jc w:val="both"/>
        <w:rPr>
          <w:rFonts w:ascii="Times New Roman;Times New Roman" w:hAnsi="Times New Roman;Times New Roman" w:eastAsia="Calibri" w:cs="Times New Roman;Times New Roman"/>
          <w:sz w:val="24"/>
          <w:szCs w:val="22"/>
        </w:rPr>
      </w:pPr>
      <w:r>
        <w:rPr>
          <w:rFonts w:eastAsia="Calibri" w:cs="Times New Roman;Times New Roman"/>
          <w:sz w:val="24"/>
          <w:szCs w:val="22"/>
        </w:rPr>
      </w:r>
    </w:p>
    <w:p>
      <w:pPr>
        <w:pStyle w:val="Paragrafoelenco"/>
        <w:numPr>
          <w:ilvl w:val="0"/>
          <w:numId w:val="4"/>
        </w:numPr>
        <w:ind w:left="1287" w:right="850" w:hanging="360"/>
        <w:jc w:val="both"/>
        <w:rPr>
          <w:rFonts w:ascii="Times New Roman;Times New Roman" w:hAnsi="Times New Roman;Times New Roman" w:cs="Times New Roman;Times New Roman"/>
          <w:sz w:val="24"/>
        </w:rPr>
      </w:pPr>
      <w:r>
        <w:rPr>
          <w:rFonts w:cs="Times New Roman;Times New Roman" w:ascii="Times New Roman;Times New Roman" w:hAnsi="Times New Roman;Times New Roman"/>
          <w:sz w:val="24"/>
        </w:rPr>
        <w:t>Area amministrativa e gestionale</w:t>
      </w:r>
    </w:p>
    <w:p>
      <w:pPr>
        <w:pStyle w:val="Normal"/>
        <w:numPr>
          <w:ilvl w:val="0"/>
          <w:numId w:val="2"/>
        </w:numPr>
        <w:ind w:left="1985" w:right="850" w:hanging="284"/>
        <w:jc w:val="both"/>
        <w:rPr/>
      </w:pPr>
      <w:r>
        <w:rPr>
          <w:rFonts w:eastAsia="Calibri"/>
          <w:szCs w:val="22"/>
          <w:lang w:eastAsia="en-US"/>
        </w:rPr>
        <w:t>Ciclo operativo ed economico delle imprese di assicurazione e riassicurazione</w:t>
      </w:r>
    </w:p>
    <w:p>
      <w:pPr>
        <w:pStyle w:val="Normal"/>
        <w:numPr>
          <w:ilvl w:val="0"/>
          <w:numId w:val="2"/>
        </w:numPr>
        <w:ind w:left="1985" w:right="850" w:hanging="284"/>
        <w:jc w:val="both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>Elementi di contabilità</w:t>
      </w:r>
    </w:p>
    <w:p>
      <w:pPr>
        <w:pStyle w:val="Normal"/>
        <w:numPr>
          <w:ilvl w:val="0"/>
          <w:numId w:val="2"/>
        </w:numPr>
        <w:ind w:left="1985" w:right="850" w:hanging="284"/>
        <w:jc w:val="both"/>
        <w:rPr/>
      </w:pPr>
      <w:r>
        <w:rPr>
          <w:rFonts w:eastAsia="Calibri"/>
          <w:szCs w:val="22"/>
          <w:lang w:eastAsia="en-US"/>
        </w:rPr>
        <w:t>Procedure e modalità assuntive e distributive adottate dall’impresa/e con cui l’intermediario opera</w:t>
      </w:r>
    </w:p>
    <w:p>
      <w:pPr>
        <w:pStyle w:val="Normal"/>
        <w:numPr>
          <w:ilvl w:val="0"/>
          <w:numId w:val="2"/>
        </w:numPr>
        <w:ind w:left="1985" w:right="850" w:hanging="284"/>
        <w:jc w:val="both"/>
        <w:rPr/>
      </w:pPr>
      <w:r>
        <w:rPr>
          <w:rFonts w:eastAsia="Calibri"/>
          <w:szCs w:val="22"/>
          <w:lang w:eastAsia="en-US"/>
        </w:rPr>
        <w:t>Programmazione, analisi e controllo di gestione dell’intermediario assicurativo</w:t>
      </w:r>
    </w:p>
    <w:p>
      <w:pPr>
        <w:pStyle w:val="Normal"/>
        <w:numPr>
          <w:ilvl w:val="0"/>
          <w:numId w:val="2"/>
        </w:numPr>
        <w:ind w:left="1985" w:right="850" w:hanging="284"/>
        <w:jc w:val="both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>Gestione dei reclami</w:t>
      </w:r>
    </w:p>
    <w:p>
      <w:pPr>
        <w:pStyle w:val="Normal"/>
        <w:numPr>
          <w:ilvl w:val="0"/>
          <w:numId w:val="2"/>
        </w:numPr>
        <w:ind w:left="1985" w:right="850" w:hanging="284"/>
        <w:jc w:val="both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>Sistemi alternativi di risoluzione delle liti</w:t>
      </w:r>
    </w:p>
    <w:p>
      <w:pPr>
        <w:pStyle w:val="Normal"/>
        <w:numPr>
          <w:ilvl w:val="0"/>
          <w:numId w:val="2"/>
        </w:numPr>
        <w:ind w:left="1985" w:right="850" w:hanging="284"/>
        <w:jc w:val="both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>Gestione dei sinistri</w:t>
      </w:r>
    </w:p>
    <w:p>
      <w:pPr>
        <w:pStyle w:val="Normal"/>
        <w:numPr>
          <w:ilvl w:val="0"/>
          <w:numId w:val="2"/>
        </w:numPr>
        <w:ind w:left="1985" w:right="850" w:hanging="284"/>
        <w:jc w:val="both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>Gestione dei rapporti con il cliente</w:t>
      </w:r>
    </w:p>
    <w:p>
      <w:pPr>
        <w:pStyle w:val="Normal"/>
        <w:numPr>
          <w:ilvl w:val="0"/>
          <w:numId w:val="2"/>
        </w:numPr>
        <w:ind w:left="1985" w:right="850" w:hanging="284"/>
        <w:jc w:val="both"/>
        <w:rPr>
          <w:szCs w:val="22"/>
        </w:rPr>
      </w:pPr>
      <w:r>
        <w:rPr>
          <w:rFonts w:eastAsia="Calibri"/>
          <w:szCs w:val="22"/>
          <w:lang w:eastAsia="en-US"/>
        </w:rPr>
        <w:t>Marketing e tecniche di comunicazione</w:t>
      </w:r>
    </w:p>
    <w:p>
      <w:pPr>
        <w:pStyle w:val="Normal"/>
        <w:numPr>
          <w:ilvl w:val="0"/>
          <w:numId w:val="2"/>
        </w:numPr>
        <w:ind w:left="1985" w:right="850" w:hanging="284"/>
        <w:jc w:val="both"/>
        <w:rPr>
          <w:szCs w:val="22"/>
        </w:rPr>
      </w:pPr>
      <w:r>
        <w:rPr/>
        <w:t>Capacità di ascoltare e decodificare i bisogni della clientela</w:t>
      </w:r>
    </w:p>
    <w:p>
      <w:pPr>
        <w:pStyle w:val="Normal"/>
        <w:ind w:left="1985" w:right="850" w:hanging="0"/>
        <w:jc w:val="both"/>
        <w:rPr>
          <w:szCs w:val="22"/>
        </w:rPr>
      </w:pPr>
      <w:r>
        <w:rPr>
          <w:szCs w:val="22"/>
        </w:rPr>
      </w:r>
    </w:p>
    <w:p>
      <w:pPr>
        <w:pStyle w:val="Paragrafoelenco"/>
        <w:numPr>
          <w:ilvl w:val="0"/>
          <w:numId w:val="4"/>
        </w:numPr>
        <w:ind w:left="1287" w:right="850" w:hanging="360"/>
        <w:jc w:val="both"/>
        <w:rPr>
          <w:rFonts w:ascii="Times New Roman;Times New Roman" w:hAnsi="Times New Roman;Times New Roman" w:cs="Times New Roman;Times New Roman"/>
          <w:sz w:val="24"/>
        </w:rPr>
      </w:pPr>
      <w:r>
        <w:rPr>
          <w:rFonts w:cs="Times New Roman;Times New Roman" w:ascii="Times New Roman;Times New Roman" w:hAnsi="Times New Roman;Times New Roman"/>
          <w:sz w:val="24"/>
        </w:rPr>
        <w:t>Area informatica</w:t>
      </w:r>
    </w:p>
    <w:p>
      <w:pPr>
        <w:pStyle w:val="Paragrafoelenco"/>
        <w:numPr>
          <w:ilvl w:val="0"/>
          <w:numId w:val="6"/>
        </w:numPr>
        <w:ind w:left="1985" w:right="850" w:hanging="284"/>
        <w:jc w:val="both"/>
        <w:rPr>
          <w:rFonts w:ascii="Times New Roman;Times New Roman" w:hAnsi="Times New Roman;Times New Roman" w:cs="Times New Roman;Times New Roman"/>
          <w:sz w:val="24"/>
        </w:rPr>
      </w:pPr>
      <w:r>
        <w:rPr>
          <w:rFonts w:cs="Times New Roman;Times New Roman" w:ascii="Times New Roman;Times New Roman" w:hAnsi="Times New Roman;Times New Roman"/>
          <w:sz w:val="24"/>
        </w:rPr>
        <w:t>Strumenti di Office Automation</w:t>
      </w:r>
    </w:p>
    <w:p>
      <w:pPr>
        <w:pStyle w:val="Paragrafoelenco"/>
        <w:numPr>
          <w:ilvl w:val="0"/>
          <w:numId w:val="6"/>
        </w:numPr>
        <w:ind w:left="1985" w:right="850" w:hanging="284"/>
        <w:jc w:val="both"/>
        <w:rPr/>
      </w:pPr>
      <w:r>
        <w:rPr>
          <w:rFonts w:cs="Times New Roman;Times New Roman" w:ascii="Times New Roman;Times New Roman" w:hAnsi="Times New Roman;Times New Roman"/>
          <w:sz w:val="24"/>
        </w:rPr>
        <w:t>Navigazione web e utilizzo di internet</w:t>
      </w:r>
    </w:p>
    <w:p>
      <w:pPr>
        <w:pStyle w:val="Paragrafoelenco"/>
        <w:numPr>
          <w:ilvl w:val="0"/>
          <w:numId w:val="6"/>
        </w:numPr>
        <w:ind w:left="1985" w:right="850" w:hanging="284"/>
        <w:jc w:val="both"/>
        <w:rPr/>
      </w:pPr>
      <w:r>
        <w:rPr>
          <w:rFonts w:cs="Times New Roman;Times New Roman" w:ascii="Times New Roman;Times New Roman" w:hAnsi="Times New Roman;Times New Roman"/>
          <w:sz w:val="24"/>
        </w:rPr>
        <w:t>Applicazioni/procedure e altre tecnologie predisposte dall’impresa/e con cui l’intermediario opera</w:t>
      </w:r>
    </w:p>
    <w:p>
      <w:pPr>
        <w:pStyle w:val="Paragrafoelenco"/>
        <w:numPr>
          <w:ilvl w:val="0"/>
          <w:numId w:val="6"/>
        </w:numPr>
        <w:ind w:left="1985" w:right="850" w:hanging="284"/>
        <w:jc w:val="both"/>
        <w:rPr>
          <w:rFonts w:ascii="Times New Roman;Times New Roman" w:hAnsi="Times New Roman;Times New Roman" w:cs="Times New Roman;Times New Roman"/>
          <w:sz w:val="24"/>
        </w:rPr>
      </w:pPr>
      <w:r>
        <w:rPr>
          <w:rFonts w:cs="Times New Roman;Times New Roman" w:ascii="Times New Roman;Times New Roman" w:hAnsi="Times New Roman;Times New Roman"/>
          <w:sz w:val="24"/>
        </w:rPr>
        <w:t>Sicurezza informatica e protezione dei dati (durata 6h)</w:t>
      </w:r>
    </w:p>
    <w:p>
      <w:pPr>
        <w:pStyle w:val="Normal"/>
        <w:spacing w:lineRule="auto" w:line="276"/>
        <w:ind w:right="850" w:hanging="0"/>
        <w:rPr>
          <w:rFonts w:ascii="Times New Roman;Times New Roman" w:hAnsi="Times New Roman;Times New Roman" w:cs="Times New Roman;Times New Roman"/>
          <w:sz w:val="22"/>
          <w:szCs w:val="28"/>
          <w:lang w:val="en-US" w:eastAsia="en-US"/>
        </w:rPr>
      </w:pPr>
      <w:r>
        <w:rPr>
          <w:rFonts w:cs="Times New Roman;Times New Roman"/>
          <w:sz w:val="22"/>
          <w:szCs w:val="28"/>
          <w:lang w:val="en-US" w:eastAsia="en-US"/>
        </w:rPr>
      </w:r>
    </w:p>
    <w:p>
      <w:pPr>
        <w:pStyle w:val="Normal"/>
        <w:numPr>
          <w:ilvl w:val="0"/>
          <w:numId w:val="0"/>
        </w:numPr>
        <w:spacing w:lineRule="auto" w:line="360"/>
        <w:jc w:val="both"/>
        <w:outlineLvl w:val="0"/>
        <w:rPr>
          <w:rFonts w:ascii="Arial" w:hAnsi="Arial" w:cs="Arial"/>
          <w:b/>
          <w:b/>
          <w:sz w:val="22"/>
          <w:szCs w:val="28"/>
          <w:lang w:val="en-US" w:eastAsia="en-US"/>
        </w:rPr>
      </w:pPr>
      <w:r>
        <w:rPr>
          <w:rFonts w:cs="Arial" w:ascii="Arial" w:hAnsi="Arial"/>
          <w:b/>
          <w:sz w:val="22"/>
          <w:szCs w:val="28"/>
          <w:lang w:val="en-US" w:eastAsia="en-US"/>
        </w:rPr>
      </w:r>
    </w:p>
    <w:p>
      <w:pPr>
        <w:pStyle w:val="Normal"/>
        <w:ind w:right="283" w:hanging="0"/>
        <w:jc w:val="center"/>
        <w:rPr>
          <w:rFonts w:ascii="Arial" w:hAnsi="Arial" w:cs="Arial"/>
          <w:b/>
          <w:b/>
          <w:szCs w:val="28"/>
          <w:lang w:val="en-US" w:eastAsia="en-US"/>
        </w:rPr>
      </w:pPr>
      <w:r>
        <w:rPr>
          <w:rFonts w:cs="Arial" w:ascii="Arial" w:hAnsi="Arial"/>
          <w:b/>
          <w:szCs w:val="28"/>
          <w:lang w:val="en-US" w:eastAsia="en-US"/>
        </w:rPr>
      </w:r>
    </w:p>
    <w:sectPr>
      <w:headerReference w:type="default" r:id="rId4"/>
      <w:footerReference w:type="default" r:id="rId5"/>
      <w:type w:val="nextPage"/>
      <w:pgSz w:w="11906" w:h="16838"/>
      <w:pgMar w:left="1134" w:right="566" w:header="708" w:top="993" w:footer="143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variable"/>
  </w:font>
  <w:font w:name="Vani">
    <w:altName w:val="Bahnschrift Light"/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b/>
        <w:b/>
        <w:i/>
        <w:i/>
        <w:lang w:val="en-US"/>
      </w:rPr>
    </w:pPr>
    <w:r>
      <w:rPr>
        <w:b/>
        <w:i/>
        <w:lang w:val="en-US"/>
      </w:rPr>
      <w:t>R&amp;B Consulting S.r.l.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[sedelegale]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P.I.: 05744121210 - Numero REA: RM 1289708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Ente con certificazione di qualità UNI EN ISO 9001:2008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  <w:drawing>
        <wp:inline distT="0" distB="0" distL="0" distR="0">
          <wp:extent cx="5771515" cy="750570"/>
          <wp:effectExtent l="0" t="0" r="0" b="0"/>
          <wp:docPr id="3" name="Image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17" r="-7" b="-17"/>
                  <a:stretch>
                    <a:fillRect/>
                  </a:stretch>
                </pic:blipFill>
                <pic:spPr bwMode="auto">
                  <a:xfrm>
                    <a:off x="0" y="0"/>
                    <a:ext cx="5771515" cy="7505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2705" w:hanging="360"/>
      </w:pPr>
      <w:rPr>
        <w:rFonts w:ascii="Vani" w:hAnsi="Vani" w:cs="Vani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1287" w:hanging="360"/>
      </w:pPr>
      <w:rPr/>
    </w:lvl>
  </w:abstractNum>
  <w:abstractNum w:abstractNumId="5">
    <w:lvl w:ilvl="0">
      <w:start w:val="1"/>
      <w:numFmt w:val="bullet"/>
      <w:lvlText w:val="-"/>
      <w:lvlJc w:val="left"/>
      <w:pPr>
        <w:tabs>
          <w:tab w:val="num" w:pos="0"/>
        </w:tabs>
        <w:ind w:left="2007" w:hanging="360"/>
      </w:pPr>
      <w:rPr>
        <w:rFonts w:ascii="Vani" w:hAnsi="Vani" w:cs="Vani" w:hint="default"/>
      </w:rPr>
    </w:lvl>
  </w:abstractNum>
  <w:abstractNum w:abstractNumId="6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</w:abstractNum>
  <w:abstractNum w:abstractNumId="7">
    <w:lvl w:ilvl="0">
      <w:start w:val="1"/>
      <w:numFmt w:val="lowerLetter"/>
      <w:lvlText w:val="%1)"/>
      <w:lvlJc w:val="left"/>
      <w:pPr>
        <w:tabs>
          <w:tab w:val="num" w:pos="669"/>
        </w:tabs>
        <w:ind w:left="669" w:hanging="360"/>
      </w:pPr>
      <w:rPr>
        <w:lang w:val="en-US" w:eastAsia="en-US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;Times New Roman" w:hAnsi="Times New Roman;Times New Roman" w:eastAsia="Times New Roman;Times New Roman" w:cs="Times New Roman;Times New Roman"/>
      <w:color w:val="auto"/>
      <w:sz w:val="24"/>
      <w:szCs w:val="24"/>
      <w:lang w:val="it-IT" w:bidi="ar-SA" w:eastAsia="zh-CN"/>
    </w:rPr>
  </w:style>
  <w:style w:type="character" w:styleId="WW8Num1z0">
    <w:name w:val="WW8Num1z0"/>
    <w:qFormat/>
    <w:rPr>
      <w:rFonts w:ascii="Vani;Bahnschrift Light" w:hAnsi="Vani;Bahnschrift Light" w:cs="Vani;Bahnschrift Light"/>
      <w:sz w:val="24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Vani;Bahnschrift Light" w:hAnsi="Vani;Bahnschrift Light" w:eastAsia="Calibri" w:cs="Vani;Bahnschrift Light"/>
      <w:szCs w:val="22"/>
      <w:lang w:eastAsia="en-U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Times New Roman;Times New Roman" w:hAnsi="Times New Roman;Times New Roman" w:eastAsia="Calibri" w:cs="Times New Roman;Times New Roman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Times New Roman;Times New Roman" w:hAnsi="Times New Roman;Times New Roman" w:eastAsia="Calibri" w:cs="Times New Roman;Times New Roman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Vani;Bahnschrift Light" w:hAnsi="Vani;Bahnschrift Light" w:cs="Vani;Bahnschrift Light"/>
      <w:sz w:val="24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/>
  </w:style>
  <w:style w:type="character" w:styleId="WW8Num7z1">
    <w:name w:val="WW8Num7z1"/>
    <w:qFormat/>
    <w:rPr/>
  </w:style>
  <w:style w:type="character" w:styleId="WW8Num7z2">
    <w:name w:val="WW8Num7z2"/>
    <w:qFormat/>
    <w:rPr/>
  </w:style>
  <w:style w:type="character" w:styleId="WW8Num7z3">
    <w:name w:val="WW8Num7z3"/>
    <w:qFormat/>
    <w:rPr/>
  </w:style>
  <w:style w:type="character" w:styleId="WW8Num7z4">
    <w:name w:val="WW8Num7z4"/>
    <w:qFormat/>
    <w:rPr/>
  </w:style>
  <w:style w:type="character" w:styleId="WW8Num7z5">
    <w:name w:val="WW8Num7z5"/>
    <w:qFormat/>
    <w:rPr/>
  </w:style>
  <w:style w:type="character" w:styleId="WW8Num7z6">
    <w:name w:val="WW8Num7z6"/>
    <w:qFormat/>
    <w:rPr/>
  </w:style>
  <w:style w:type="character" w:styleId="WW8Num7z7">
    <w:name w:val="WW8Num7z7"/>
    <w:qFormat/>
    <w:rPr/>
  </w:style>
  <w:style w:type="character" w:styleId="WW8Num7z8">
    <w:name w:val="WW8Num7z8"/>
    <w:qFormat/>
    <w:rPr/>
  </w:style>
  <w:style w:type="character" w:styleId="WW8Num8z0">
    <w:name w:val="WW8Num8z0"/>
    <w:qFormat/>
    <w:rPr>
      <w:rFonts w:ascii="Times New Roman;Times New Roman" w:hAnsi="Times New Roman;Times New Roman" w:eastAsia="Calibri" w:cs="Times New Roman;Times New Roman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Vani;Bahnschrift Light" w:hAnsi="Vani;Bahnschrift Light" w:cs="Vani;Bahnschrift Light"/>
      <w:sz w:val="24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Times New Roman;Times New Roman" w:hAnsi="Times New Roman;Times New Roman" w:eastAsia="Times New Roman;Times New Roman" w:cs="Times New Roman;Times New Roman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>
      <w:rFonts w:ascii="Times New Roman;Times New Roman" w:hAnsi="Times New Roman;Times New Roman" w:eastAsia="Calibri" w:cs="Times New Roman;Times New Roman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>
      <w:rFonts w:ascii="Times New Roman;Times New Roman" w:hAnsi="Times New Roman;Times New Roman" w:eastAsia="Calibri" w:cs="Times New Roman;Times New Roman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>
      <w:rFonts w:ascii="Vani;Bahnschrift Light" w:hAnsi="Vani;Bahnschrift Light" w:cs="Vani;Bahnschrift Light"/>
      <w:sz w:val="24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lang w:val="en-US" w:eastAsia="en-US"/>
    </w:rPr>
  </w:style>
  <w:style w:type="character" w:styleId="WW8Num14z1">
    <w:name w:val="WW8Num14z1"/>
    <w:qFormat/>
    <w:rPr/>
  </w:style>
  <w:style w:type="character" w:styleId="WW8Num14z2">
    <w:name w:val="WW8Num14z2"/>
    <w:qFormat/>
    <w:rPr/>
  </w:style>
  <w:style w:type="character" w:styleId="WW8Num14z3">
    <w:name w:val="WW8Num14z3"/>
    <w:qFormat/>
    <w:rPr/>
  </w:style>
  <w:style w:type="character" w:styleId="WW8Num14z4">
    <w:name w:val="WW8Num14z4"/>
    <w:qFormat/>
    <w:rPr/>
  </w:style>
  <w:style w:type="character" w:styleId="WW8Num14z5">
    <w:name w:val="WW8Num14z5"/>
    <w:qFormat/>
    <w:rPr/>
  </w:style>
  <w:style w:type="character" w:styleId="WW8Num14z6">
    <w:name w:val="WW8Num14z6"/>
    <w:qFormat/>
    <w:rPr/>
  </w:style>
  <w:style w:type="character" w:styleId="WW8Num14z7">
    <w:name w:val="WW8Num14z7"/>
    <w:qFormat/>
    <w:rPr/>
  </w:style>
  <w:style w:type="character" w:styleId="WW8Num14z8">
    <w:name w:val="WW8Num14z8"/>
    <w:qFormat/>
    <w:rPr/>
  </w:style>
  <w:style w:type="character" w:styleId="Carpredefinitoparagrafo">
    <w:name w:val="Car. predefinito paragrafo"/>
    <w:qFormat/>
    <w:rPr/>
  </w:style>
  <w:style w:type="character" w:styleId="PidipaginaCarattere">
    <w:name w:val="Piè di pagina Carattere"/>
    <w:qFormat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>
      <w:lang w:val="en-US"/>
    </w:rPr>
  </w:style>
  <w:style w:type="paragraph" w:styleId="Paragrafoelenco">
    <w:name w:val="Paragrafo elenco"/>
    <w:basedOn w:val="Normal"/>
    <w:qFormat/>
    <w:pPr>
      <w:spacing w:before="0" w:after="0"/>
      <w:ind w:left="720" w:hanging="0"/>
      <w:contextualSpacing/>
      <w:jc w:val="center"/>
    </w:pPr>
    <w:rPr>
      <w:rFonts w:ascii="Calibri" w:hAnsi="Calibri" w:eastAsia="Calibri" w:cs="Calibri"/>
      <w:sz w:val="22"/>
      <w:szCs w:val="22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wmf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2018-02-15T14:08:00Z</dcterms:created>
  <dc:creator>A</dc:creator>
  <dc:description/>
  <cp:keywords/>
  <dc:language>en-US</dc:language>
  <cp:lastModifiedBy>utente</cp:lastModifiedBy>
  <cp:lastPrinted>2010-10-29T13:21:00Z</cp:lastPrinted>
  <dcterms:modified xsi:type="dcterms:W3CDTF">2021-01-18T17:06:00Z</dcterms:modified>
  <cp:revision>15</cp:revision>
  <dc:subject/>
  <dc:title>                                </dc:title>
</cp:coreProperties>
</file>