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>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Riciclaggio e Contrasto al finanziamento del terrorismo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Aggiornato alla Quinta Direttiva UE 2018/843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degli Argomenti: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216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Regolamento IVASS n. 44 del 2019 s.m.i.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2160" w:hanging="0"/>
        <w:contextualSpacing/>
        <w:rPr/>
      </w:pPr>
      <w:r>
        <w:rPr>
          <w:rFonts w:cs="Arial" w:ascii="Arial" w:hAnsi="Arial"/>
          <w:b/>
          <w:color w:val="B40303"/>
          <w:sz w:val="18"/>
          <w:szCs w:val="18"/>
        </w:rPr>
        <w:t>Provvedimento Banca d’Italia del 30 luglio 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216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Provvedimento UIF in ottemperanza alle previsioni della quarta e della quinta Direttiva antiriciclaggio del 24 luglio 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 requisiti dei soggetti formatori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10760075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47.2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/>
      </w:pPr>
      <w:r>
        <w:rPr>
          <w:rFonts w:cs="Arial" w:ascii="Arial" w:hAnsi="Arial"/>
          <w:b/>
          <w:color w:val="B40303"/>
        </w:rPr>
        <w:t>______________________________________________</w:t>
        <w:br/>
      </w: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 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  <w:color w:val="B40303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  <w:color w:val="B40303"/>
      <w:sz w:val="22"/>
      <w:szCs w:val="22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2022-03-18T11:43:00Z</dcterms:created>
  <dc:creator>Utente Windows</dc:creator>
  <dc:description/>
  <cp:keywords/>
  <dc:language>en-US</dc:language>
  <cp:lastModifiedBy>Account Microsoft</cp:lastModifiedBy>
  <cp:lastPrinted>2020-12-28T12:22:00Z</cp:lastPrinted>
  <dcterms:modified xsi:type="dcterms:W3CDTF">2022-03-18T11:45:00Z</dcterms:modified>
  <cp:revision>4</cp:revision>
  <dc:subject/>
  <dc:title/>
</cp:coreProperties>
</file>