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6378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63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6315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63150"/>
                              </a:lnTo>
                              <a:lnTo>
                                <a:pt x="0" y="996315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823869"/>
                              </a:lnTo>
                              <a:lnTo>
                                <a:pt x="6661569" y="982386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84.4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28"/>
          <w:szCs w:val="28"/>
        </w:rPr>
      </w:pPr>
      <w:r>
        <w:rPr>
          <w:rFonts w:cs="Arial" w:ascii="Arial" w:hAnsi="Arial"/>
          <w:b/>
          <w:color w:val="B40303"/>
          <w:sz w:val="28"/>
          <w:szCs w:val="28"/>
        </w:rPr>
        <w:t xml:space="preserve">La disciplina sulla trasparenza delle operazioni e dei servizi bancari e finanziari e la tutela del consumatore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4"/>
          <w:szCs w:val="24"/>
        </w:rPr>
      </w:pPr>
      <w:r>
        <w:rPr>
          <w:rFonts w:cs="Arial" w:ascii="Arial" w:hAnsi="Arial"/>
          <w:color w:val="B40303"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1 ora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degli Argomenti: 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b/>
          <w:b/>
          <w:color w:val="B40303"/>
          <w:sz w:val="18"/>
          <w:szCs w:val="18"/>
        </w:rPr>
      </w:pPr>
      <w:r>
        <w:rPr>
          <w:rFonts w:cs="Arial" w:ascii="Arial" w:hAnsi="Arial"/>
          <w:b/>
          <w:color w:val="B40303"/>
          <w:sz w:val="18"/>
          <w:szCs w:val="18"/>
        </w:rPr>
        <w:t>Il rispetto delle regole e dei principi di trasparenza e correttezza nei rapporti con la clientela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b/>
          <w:b/>
          <w:color w:val="B40303"/>
          <w:sz w:val="18"/>
          <w:szCs w:val="18"/>
        </w:rPr>
      </w:pPr>
      <w:r>
        <w:rPr>
          <w:rFonts w:cs="Arial" w:ascii="Arial" w:hAnsi="Arial"/>
          <w:b/>
          <w:color w:val="B40303"/>
          <w:sz w:val="18"/>
          <w:szCs w:val="18"/>
        </w:rPr>
        <w:t>Le disposizioni di carattere generale in materia di trasparenza del T.U.B. e delibere del CICR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b/>
          <w:b/>
          <w:color w:val="B40303"/>
          <w:sz w:val="18"/>
          <w:szCs w:val="18"/>
        </w:rPr>
      </w:pPr>
      <w:r>
        <w:rPr>
          <w:rFonts w:cs="Arial" w:ascii="Arial" w:hAnsi="Arial"/>
          <w:b/>
          <w:color w:val="B40303"/>
          <w:sz w:val="18"/>
          <w:szCs w:val="18"/>
        </w:rPr>
        <w:t>Le disposizioni di carattere generale e le finalità della tutela del consumatore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 requisiti dei soggetti formatori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username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R&amp;B Consulting srl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Docenti:</w:t>
      </w:r>
      <w:r>
        <w:rPr>
          <w:rFonts w:cs="Arial" w:ascii="Arial" w:hAnsi="Arial"/>
          <w:b/>
          <w:color w:val="B40303"/>
          <w:sz w:val="18"/>
          <w:szCs w:val="18"/>
        </w:rPr>
        <w:t xml:space="preserve"> Avv. C. Gugliotta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11170285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79.55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  </w:t>
      </w:r>
    </w:p>
    <w:p>
      <w:pPr>
        <w:pStyle w:val="Normal"/>
        <w:rPr>
          <w:rFonts w:ascii="Arial" w:hAnsi="Arial" w:cs="Arial"/>
          <w:b/>
          <w:b/>
          <w:color w:val="B40303"/>
          <w:sz w:val="14"/>
          <w:szCs w:val="14"/>
        </w:rPr>
      </w:pPr>
      <w:r>
        <w:rPr>
          <w:rFonts w:cs="Arial" w:ascii="Arial" w:hAnsi="Arial"/>
          <w:b/>
          <w:color w:val="B40303"/>
          <w:sz w:val="14"/>
          <w:szCs w:val="14"/>
        </w:rPr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b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cs="Symbol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  <w:color w:val="B40303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  <w:color w:val="B40303"/>
      <w:sz w:val="22"/>
      <w:szCs w:val="22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Carpredefinitoparagrafo">
    <w:name w:val="Car. predefinito paragrafo"/>
    <w:qFormat/>
    <w:rPr/>
  </w:style>
  <w:style w:type="character" w:styleId="TestofumettoCarattere">
    <w:name w:val="Testo fumetto Carattere"/>
    <w:qFormat/>
    <w:rPr>
      <w:rFonts w:ascii="Segoe UI" w:hAnsi="Segoe UI" w:cs="Segoe UI"/>
      <w:sz w:val="18"/>
      <w:szCs w:val="18"/>
    </w:rPr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stofumetto">
    <w:name w:val="Testo fumett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Paragrafoelenco">
    <w:name w:val="Paragrafo elenco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2022-03-18T11:50:00Z</dcterms:created>
  <dc:creator>Utente Windows</dc:creator>
  <dc:description/>
  <cp:keywords/>
  <dc:language>en-US</dc:language>
  <cp:lastModifiedBy>Account Microsoft</cp:lastModifiedBy>
  <cp:lastPrinted>2020-09-21T13:07:00Z</cp:lastPrinted>
  <dcterms:modified xsi:type="dcterms:W3CDTF">2022-03-18T11:51:00Z</dcterms:modified>
  <cp:revision>4</cp:revision>
  <dc:subject/>
  <dc:title/>
</cp:coreProperties>
</file>