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lang w:val="en-US" w:eastAsia="en-US"/>
        </w:rPr>
      </w:pPr>
      <w:r>
        <w:rPr>
          <w:b/>
          <w:sz w:val="40"/>
          <w:szCs w:val="40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  <w:t>____________________________________</w:t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19/14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/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8"/>
          <w:lang w:val="en-US" w:eastAsia="en-US"/>
        </w:rPr>
      </w:pPr>
      <w:r>
        <w:rPr>
          <w:b/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15 ore in modalità e-learning e 15 ore di formazione a distanza in autonomia.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ind w:left="179" w:right="425" w:firstLine="463"/>
        <w:jc w:val="both"/>
        <w:rPr/>
      </w:pPr>
      <w:r>
        <w:rPr>
          <w:bCs/>
          <w:lang w:val="en-US" w:eastAsia="en-US"/>
        </w:rPr>
        <w:t>Il sistema finanziario e l’intermediazione del credito</w:t>
      </w:r>
      <w:r>
        <w:rPr>
          <w:lang w:val="en-US" w:eastAsia="en-US"/>
        </w:rPr>
        <w:t>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/>
      </w:pPr>
      <w:r>
        <w:rPr>
          <w:lang w:val="en-US" w:eastAsia="en-US"/>
        </w:rPr>
        <w:t>Aspetti tecnici e normativi delle forme di finanziamento.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>
          <w:lang w:val="en-US" w:eastAsia="en-US"/>
        </w:rPr>
      </w:pPr>
      <w:r>
        <w:rPr>
          <w:lang w:val="en-US" w:eastAsia="en-US"/>
        </w:rPr>
        <w:t>La disciplina su trasparenza, antiriciclaggio, antiusura e privacy.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/>
      </w:pPr>
      <w:r>
        <w:rPr>
          <w:lang w:val="en-US" w:eastAsia="en-US"/>
        </w:rPr>
        <w:t>La disciplina dei servizi di pagamento.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>
          <w:lang w:val="en-US" w:eastAsia="en-US"/>
        </w:rPr>
      </w:pPr>
      <w:r>
        <w:rPr>
          <w:lang w:val="en-US" w:eastAsia="en-US"/>
        </w:rPr>
        <w:t>La disciplina in tema di intermediazione assicurativa.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>
          <w:lang w:val="en-US" w:eastAsia="en-US"/>
        </w:rPr>
      </w:pPr>
      <w:r>
        <w:rPr>
          <w:lang w:val="en-US" w:eastAsia="en-US"/>
        </w:rPr>
        <w:t>La disciplina dei reclami e dell’Arbitro bancario e finanziario.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>
          <w:lang w:val="en-US" w:eastAsia="en-US"/>
        </w:rPr>
      </w:pPr>
      <w:r>
        <w:rPr>
          <w:lang w:val="en-US" w:eastAsia="en-US"/>
        </w:rPr>
        <w:t>La dispiplina della responsabilità amministrativa.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>
          <w:lang w:val="en-US" w:eastAsia="en-US"/>
        </w:rPr>
      </w:pPr>
      <w:r>
        <w:rPr>
          <w:lang w:val="en-US" w:eastAsia="en-US"/>
        </w:rPr>
        <w:t>La tutela dei consumatori.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>
          <w:lang w:val="en-US" w:eastAsia="en-US"/>
        </w:rPr>
      </w:pPr>
      <w:r>
        <w:rPr>
          <w:lang w:val="en-US" w:eastAsia="en-US"/>
        </w:rPr>
        <w:t>Registri immobiliari e adempimenti relativi alla compraventita di immobili.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09" w:leader="none"/>
        </w:tabs>
        <w:ind w:left="179" w:right="425" w:firstLine="463"/>
        <w:jc w:val="both"/>
        <w:rPr>
          <w:lang w:val="en-US" w:eastAsia="en-US"/>
        </w:rPr>
      </w:pPr>
      <w:r>
        <w:rPr>
          <w:lang w:val="en-US" w:eastAsia="en-US"/>
        </w:rPr>
        <w:t>Deontologia e correttezza professionale nei rapporti con il cliente.</w:t>
      </w:r>
    </w:p>
    <w:p>
      <w:pPr>
        <w:pStyle w:val="Normal"/>
        <w:ind w:left="284" w:right="425" w:hanging="0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pt-BR"/>
      </w:rPr>
    </w:pPr>
    <w:r>
      <w:rPr>
        <w:b/>
        <w:i/>
        <w:lang w:val="pt-BR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708"/>
        </w:tabs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2009-11-19T12:55:00Z</dcterms:created>
  <dc:creator>A</dc:creator>
  <dc:description/>
  <cp:keywords/>
  <dc:language>en-US</dc:language>
  <cp:lastModifiedBy>giuseppe russo</cp:lastModifiedBy>
  <cp:lastPrinted>2010-10-29T13:21:00Z</cp:lastPrinted>
  <dcterms:modified xsi:type="dcterms:W3CDTF">2017-06-01T16:34:00Z</dcterms:modified>
  <cp:revision>48</cp:revision>
  <dc:subject/>
  <dc:title>                                </dc:title>
</cp:coreProperties>
</file>