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ab/>
        <w:t>amministratore di condominio e responsabilità;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degli edifici;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ascensore in condominio;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parti comuni in condominio;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regolamenti condominiali;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diritti reali;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norme urbanistiche;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barriere architettoniche;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appalto e contratto di lavoro subordinato; 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problemi condominiali e orientamenti risolutivi;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ab/>
        <w:t xml:space="preserve">sito internet del condominio;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contabilità. 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40640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2023-02-21T12:55:00Z</dcterms:created>
  <dc:creator>A</dc:creator>
  <dc:description/>
  <cp:keywords/>
  <dc:language>en-US</dc:language>
  <cp:lastModifiedBy>carmela</cp:lastModifiedBy>
  <cp:lastPrinted>2012-09-27T17:20:00Z</cp:lastPrinted>
  <dcterms:modified xsi:type="dcterms:W3CDTF">2023-10-06T12:00:00Z</dcterms:modified>
  <cp:revision>3</cp:revision>
  <dc:subject/>
  <dc:title>                                </dc:title>
</cp:coreProperties>
</file>