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RICICLAGGIO E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FINANZIAMENTO DEL TERRORISMO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Cs/>
          <w:sz w:val="22"/>
          <w:szCs w:val="40"/>
        </w:rPr>
      </w:pPr>
      <w:r>
        <w:rPr>
          <w:rFonts w:cs="Verdana" w:ascii="Verdana" w:hAnsi="Verdana"/>
          <w:bCs/>
          <w:sz w:val="22"/>
          <w:szCs w:val="40"/>
        </w:rPr>
        <w:t xml:space="preserve">(Disposizioni per i professionisti)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1h30’ in modalità di e-learning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Riciclaggio e terrorismo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Evoluzione della normativa antiriciclaggio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La V Direttiva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Aspetti generali degli obblighi in capo ai professionisti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Autovalutazione del rischio e identificazione del rischio inerente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Analisi delle vulnerabilità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Determinazione del rischio residuo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Adeguata verifica della clientela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Valutazione del rischio inerente, del rischio specifico e del rischio effettivo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Misure di adeguata verifica della clientela e obblighi di astensione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La conservazione dei dati, dei documenti e delle informazioni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La segnalazione delle operazioni sospette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Le sanzioni</w:t>
      </w:r>
    </w:p>
    <w:p>
      <w:pPr>
        <w:pStyle w:val="Normal"/>
        <w:ind w:right="425" w:hanging="0"/>
        <w:jc w:val="both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right="425" w:hanging="0"/>
        <w:jc w:val="both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lang w:val="en-US" w:eastAsia="en-US"/>
        </w:rPr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C. Gugliotta </w:t>
      </w:r>
    </w:p>
    <w:p>
      <w:pPr>
        <w:pStyle w:val="Normal"/>
        <w:ind w:left="-539" w:right="-57" w:hanging="28"/>
        <w:jc w:val="center"/>
        <w:rPr>
          <w:i/>
          <w:i/>
          <w:sz w:val="22"/>
          <w:lang w:val="en-US" w:eastAsia="en-US"/>
        </w:rPr>
      </w:pPr>
      <w:r>
        <w:rPr>
          <w:i/>
          <w:sz w:val="22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  <w:lang w:val="it-IT"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tabs>
        <w:tab w:val="center" w:pos="4819" w:leader="none"/>
        <w:tab w:val="center" w:pos="5103" w:leader="none"/>
        <w:tab w:val="left" w:pos="9396" w:leader="none"/>
        <w:tab w:val="right" w:pos="9638" w:leader="none"/>
      </w:tabs>
      <w:rPr>
        <w:i/>
        <w:i/>
        <w:lang w:val="pt-BR"/>
      </w:rPr>
    </w:pPr>
    <w:r>
      <w:rPr>
        <w:i/>
        <w:lang w:val="pt-BR"/>
      </w:rPr>
      <w:tab/>
      <w:t>P.I.: 17044041006 - Numero REA: RM 1692224</w:t>
      <w:tab/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Paragrafoelenco">
    <w:name w:val="Paragrafo elenco"/>
    <w:basedOn w:val="Normal"/>
    <w:qFormat/>
    <w:pPr>
      <w:ind w:left="708" w:hanging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2023-02-21T12:55:00Z</dcterms:created>
  <dc:creator>A</dc:creator>
  <dc:description/>
  <cp:keywords/>
  <dc:language>en-US</dc:language>
  <cp:lastModifiedBy>carmela</cp:lastModifiedBy>
  <cp:lastPrinted>2022-01-13T12:41:00Z</cp:lastPrinted>
  <dcterms:modified xsi:type="dcterms:W3CDTF">2023-10-06T12:01:00Z</dcterms:modified>
  <cp:revision>3</cp:revision>
  <dc:subject/>
  <dc:title>                                </dc:title>
</cp:coreProperties>
</file>