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lang w:val="en-US" w:eastAsia="en-US"/>
        </w:rPr>
      </w:pPr>
      <w:r>
        <w:rPr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iCs/>
          <w:sz w:val="72"/>
          <w:szCs w:val="72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 xml:space="preserve">CF: </w:t>
      </w:r>
      <w:r>
        <w:rPr>
          <w:i/>
          <w:iCs/>
          <w:sz w:val="52"/>
          <w:szCs w:val="52"/>
        </w:rPr>
        <w:t>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superato con esito positivo il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PER AMMINISTRATORI DI CONDOMINIO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40"/>
          <w:szCs w:val="40"/>
          <w:lang w:val="en-US" w:eastAsia="en-US"/>
        </w:rPr>
      </w:pPr>
      <w:r>
        <w:rPr>
          <w:rFonts w:cs="Verdana" w:ascii="Verdana" w:hAnsi="Verdana"/>
          <w:sz w:val="40"/>
          <w:szCs w:val="40"/>
        </w:rPr>
        <w:t>ai sensi della Legge 220/2012 e del D.M. 140/2014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 xml:space="preserve">30 ore, di cui 15 ore di formazione in modalità equivalenti (e-learning) e 15 ore di esercitazioni pratiche. 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ab/>
        <w:t>amministratore di condominio e polizza assicurativa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regolamento condominiale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parti comuni in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ripartizione dei costi in relazione alle tabelle millesimali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contratto di locazione e di lavoro subordinato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servizio di portierato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sicurezza in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impianto idrico e verifica qualità dell’acqua in condominio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strumenti di contabilità condominiale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risoluzione dei conflitti in codominio</w:t>
      </w:r>
    </w:p>
    <w:p>
      <w:pPr>
        <w:pStyle w:val="Normal"/>
        <w:numPr>
          <w:ilvl w:val="0"/>
          <w:numId w:val="1"/>
        </w:numPr>
        <w:tabs>
          <w:tab w:val="clear" w:pos="708"/>
        </w:tabs>
        <w:ind w:left="709" w:right="425" w:hanging="425"/>
        <w:jc w:val="both"/>
        <w:rPr>
          <w:lang w:val="en-US" w:eastAsia="en-US"/>
        </w:rPr>
      </w:pPr>
      <w:r>
        <w:rPr>
          <w:lang w:val="en-US" w:eastAsia="en-US"/>
        </w:rPr>
        <w:t>decreto ingiuntivo in condominio</w:t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>
          <w:bCs/>
        </w:rPr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16"/>
          <w:lang w:val="en-US" w:eastAsia="en-US"/>
        </w:rPr>
      </w:pPr>
      <w:r>
        <w:rPr>
          <w:b/>
          <w:sz w:val="16"/>
          <w:lang w:val="en-US" w:eastAsia="en-US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Coordinatore scientifico dei contenuti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-57" w:hanging="28"/>
        <w:jc w:val="center"/>
        <w:rPr>
          <w:b/>
          <w:b/>
          <w:i/>
          <w:i/>
          <w:sz w:val="28"/>
          <w:lang w:val="en-US" w:eastAsia="en-US"/>
        </w:rPr>
      </w:pPr>
      <w:r>
        <w:rPr>
          <w:b/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11/04/2024</w:t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3839210</wp:posOffset>
            </wp:positionH>
            <wp:positionV relativeFrom="paragraph">
              <wp:posOffset>40640</wp:posOffset>
            </wp:positionV>
            <wp:extent cx="3012440" cy="77660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44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  <w:tab/>
        <w:tab/>
        <w:tab/>
        <w:tab/>
        <w:tab/>
        <w:tab/>
        <w:tab/>
        <w:tab/>
        <w:tab/>
        <w:tab/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1637" w:footer="17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>
        <w:b/>
        <w:i/>
      </w:rPr>
      <w:t>RB Academy – Servizio di RB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Via Crescenzio, 25 – 00193 Roma (RM)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17044041006 - Numero REA: RM 1692224</w:t>
    </w:r>
  </w:p>
  <w:p>
    <w:pPr>
      <w:pStyle w:val="Footer"/>
      <w:jc w:val="center"/>
      <w:rPr/>
    </w:pPr>
    <w:r>
      <w:rPr>
        <w:i/>
        <w:lang w:val="pt-BR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tabs>
        <w:tab w:val="clear" w:pos="9638"/>
        <w:tab w:val="center" w:pos="4819" w:leader="none"/>
      </w:tabs>
      <w:rPr/>
    </w:pPr>
    <w:r>
      <w:rPr/>
      <w:drawing>
        <wp:inline distT="0" distB="0" distL="0" distR="0">
          <wp:extent cx="2438400" cy="40005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90" r="-15" b="-90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ind w:left="179" w:hanging="360"/>
      </w:pPr>
      <w:rPr>
        <w:lang w:val="en-US" w:eastAsia="en-US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lang w:val="en-US" w:eastAsia="en-US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character" w:styleId="IntestazioneCarattere">
    <w:name w:val="Intestazione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2023-02-21T12:55:00Z</dcterms:created>
  <dc:creator>A</dc:creator>
  <dc:description/>
  <cp:keywords/>
  <dc:language>en-US</dc:language>
  <cp:lastModifiedBy>carmela</cp:lastModifiedBy>
  <cp:lastPrinted>2012-09-27T17:20:00Z</cp:lastPrinted>
  <dcterms:modified xsi:type="dcterms:W3CDTF">2025-09-30T09:44:00Z</dcterms:modified>
  <cp:revision>10</cp:revision>
  <dc:subject/>
  <dc:title>                                </dc:title>
</cp:coreProperties>
</file>