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FORMAZIONE INIZIALE PER REVISORE CONTABILE DEL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32"/>
          <w:szCs w:val="40"/>
          <w:lang w:val="en-US" w:eastAsia="en-US"/>
        </w:rPr>
      </w:pPr>
      <w:r>
        <w:rPr>
          <w:rFonts w:cs="Verdana" w:ascii="Verdana" w:hAnsi="Verdana"/>
          <w:sz w:val="32"/>
          <w:szCs w:val="40"/>
        </w:rPr>
        <w:t>ai sensi della Legge 220/2012 e della norma UNI:11777:2020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48 ore, di cui 43 ore di formazione in modalità equivalenti (e-learning) e 5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>riforma del condominio;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beni e impianti comuni;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amministratore condominiale;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assemblea, regolamento e rendiconto;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revisore condominiale;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contabilità;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diritti reali;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i contratti;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privacy;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problemi condominiali e controversie.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left="-539" w:right="425" w:firstLine="539"/>
        <w:rPr>
          <w:bCs/>
        </w:rPr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</w:p>
    <w:p>
      <w:pPr>
        <w:pStyle w:val="Normal"/>
        <w:ind w:left="-539" w:right="425" w:firstLine="539"/>
        <w:rPr>
          <w:bCs/>
          <w:sz w:val="16"/>
        </w:rPr>
      </w:pPr>
      <w:r>
        <w:rPr>
          <w:bCs/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b/>
          <w:b/>
          <w:sz w:val="28"/>
          <w:lang w:val="en-US" w:eastAsia="en-US"/>
        </w:rPr>
      </w:pPr>
      <w:r>
        <w:rPr>
          <w:b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  <w:u w:val="single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28"/>
        <w:jc w:val="center"/>
        <w:rPr>
          <w:i/>
          <w:i/>
          <w:sz w:val="28"/>
          <w:u w:val="single"/>
        </w:rPr>
      </w:pPr>
      <w:r>
        <w:rPr>
          <w:i/>
          <w:sz w:val="28"/>
          <w:u w:val="single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154940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426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  <w:lang w:val="en-US"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character" w:styleId="IntestazioneCarattere">
    <w:name w:val="Intestazione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2023-02-21T12:57:00Z</dcterms:created>
  <dc:creator>A</dc:creator>
  <dc:description/>
  <cp:keywords/>
  <dc:language>en-US</dc:language>
  <cp:lastModifiedBy>carmela</cp:lastModifiedBy>
  <cp:lastPrinted>2012-09-27T17:20:00Z</cp:lastPrinted>
  <dcterms:modified xsi:type="dcterms:W3CDTF">2023-10-06T12:02:00Z</dcterms:modified>
  <cp:revision>3</cp:revision>
  <dc:subject/>
  <dc:title>                                </dc:title>
</cp:coreProperties>
</file>