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SICUREZZA INFORMATICA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 ore in modalità di e-learning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Risk Management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Cybersecurity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Cyber risk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Cybersecurity framework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Enterprise Risk Management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Aspetti di privacy legati al framework</w:t>
      </w:r>
    </w:p>
    <w:p>
      <w:pPr>
        <w:pStyle w:val="Normal"/>
        <w:ind w:left="284" w:right="425" w:hanging="0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– Avv. Angela Sgueglia</w:t>
      </w:r>
    </w:p>
    <w:p>
      <w:pPr>
        <w:pStyle w:val="Normal"/>
        <w:ind w:left="-539" w:right="-57" w:hanging="28"/>
        <w:jc w:val="center"/>
        <w:rPr>
          <w:i/>
          <w:i/>
          <w:sz w:val="22"/>
          <w:szCs w:val="28"/>
          <w:lang w:val="en-US" w:eastAsia="en-US"/>
        </w:rPr>
      </w:pPr>
      <w:r>
        <w:rPr>
          <w:i/>
          <w:sz w:val="22"/>
          <w:szCs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2"/>
          <w:szCs w:val="28"/>
          <w:lang w:val="en-US" w:eastAsia="en-US"/>
        </w:rPr>
      </w:pPr>
      <w:r>
        <w:rPr>
          <w:i/>
          <w:sz w:val="22"/>
          <w:szCs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jc w:val="center"/>
        <w:rPr>
          <w:b/>
          <w:b/>
          <w:i/>
          <w:i/>
          <w:sz w:val="26"/>
          <w:szCs w:val="20"/>
          <w:lang w:val="en-US" w:eastAsia="en-US"/>
        </w:rPr>
      </w:pPr>
      <w:r>
        <w:rPr>
          <w:b/>
          <w:i/>
          <w:sz w:val="26"/>
          <w:szCs w:val="20"/>
          <w:lang w:val="en-US" w:eastAsia="en-US"/>
        </w:rPr>
      </w:r>
    </w:p>
    <w:p>
      <w:pPr>
        <w:pStyle w:val="Normal"/>
        <w:jc w:val="center"/>
        <w:rPr>
          <w:b/>
          <w:b/>
          <w:sz w:val="26"/>
          <w:szCs w:val="20"/>
        </w:rPr>
      </w:pPr>
      <w:r>
        <w:rPr>
          <w:b/>
          <w:sz w:val="26"/>
          <w:szCs w:val="20"/>
        </w:rPr>
      </w:r>
    </w:p>
    <w:p>
      <w:pPr>
        <w:pStyle w:val="Normal"/>
        <w:ind w:right="283" w:hanging="0"/>
        <w:jc w:val="center"/>
        <w:rPr>
          <w:b/>
          <w:b/>
          <w:sz w:val="26"/>
          <w:szCs w:val="40"/>
          <w:u w:val="single"/>
          <w:lang w:val="en-US" w:eastAsia="en-US"/>
        </w:rPr>
      </w:pPr>
      <w:r>
        <w:rPr>
          <w:b/>
          <w:sz w:val="26"/>
          <w:szCs w:val="40"/>
          <w:u w:val="single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76"/>
        <w:ind w:right="283" w:hanging="0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spacing w:lineRule="auto" w:line="360"/>
        <w:ind w:right="283" w:hanging="0"/>
        <w:jc w:val="both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0" w:name="OLE_LINK4"/>
      <w:bookmarkStart w:id="1" w:name="OLE_LINK5"/>
      <w:r>
        <w:rPr>
          <w:sz w:val="26"/>
          <w:szCs w:val="26"/>
          <w:lang w:val="en-US" w:eastAsia="en-US"/>
        </w:rPr>
        <w:t>Firstname Lastname</w:t>
      </w:r>
      <w:bookmarkEnd w:id="0"/>
      <w:bookmarkEnd w:id="1"/>
      <w:r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[CF], frequentate le 6 ore di corso con modalità di e-learning sulla piattaforma didattica di RB Academy ha svolto il test di verifica finale.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>Il candidato ha superato il test con votazione [VOTO] e la Segreteria Didattica di RB Academy ha provveduto a rilasciare l’attestato in formato digitale.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/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  <w:lang w:val="it-IT"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438400" cy="40005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2023-02-21T12:57:00Z</dcterms:created>
  <dc:creator>A</dc:creator>
  <dc:description/>
  <cp:keywords/>
  <dc:language>en-US</dc:language>
  <cp:lastModifiedBy>carmela</cp:lastModifiedBy>
  <cp:lastPrinted>2010-10-29T13:21:00Z</cp:lastPrinted>
  <dcterms:modified xsi:type="dcterms:W3CDTF">2023-10-06T12:03:00Z</dcterms:modified>
  <cp:revision>4</cp:revision>
  <dc:subject/>
  <dc:title>                                </dc:title>
</cp:coreProperties>
</file>