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Trader Analizer — Auditoria e Reconstrução de Assertividade</w:t>
      </w:r>
    </w:p>
    <w:p>
      <w:pPr>
        <w:spacing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 MT5 (WIN/WDO) e Scalper (BITM26) — diagnóstico, correções, backtest e configuração final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01/07/2026 — versão 6.2 (final validada em 877 sinais reais do MT5)</w:t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</w:rPr>
        <w:t xml:space="preserve">Partimos de um sistema </w:t>
      </w:r>
      <w:r>
        <w:rPr>
          <w:rFonts w:ascii="Arial" w:cs="Arial" w:eastAsia="Arial" w:hAnsi="Arial"/>
          <w:b/>
          <w:bCs/>
          <w:color w:val="B00000"/>
        </w:rPr>
        <w:t xml:space="preserve">perdedor</w:t>
      </w:r>
      <w:r>
        <w:rPr>
          <w:rFonts w:ascii="Arial" w:cs="Arial" w:eastAsia="Arial" w:hAnsi="Arial"/>
        </w:rPr>
        <w:t xml:space="preserve"> e chegamos a uma configuração com </w:t>
      </w:r>
      <w:r>
        <w:rPr>
          <w:rFonts w:ascii="Arial" w:cs="Arial" w:eastAsia="Arial" w:hAnsi="Arial"/>
          <w:b/>
          <w:bCs/>
          <w:color w:val="1E7D32"/>
        </w:rPr>
        <w:t xml:space="preserve">expectância positiva comprovada</w:t>
      </w:r>
      <w:r>
        <w:rPr>
          <w:rFonts w:ascii="Arial" w:cs="Arial" w:eastAsia="Arial" w:hAnsi="Arial"/>
        </w:rPr>
        <w:t xml:space="preserve"> nos dois ativos do Monitor, validada em backtest com dados reais do MT5 (877 sinais, ~4 meses).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Depois (validado)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 WIN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−R$ 519 real (12% acerto)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+0,057 R/trade · PF 1,10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 WDO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(parte do −519)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+0,179 R/trade · PF 1,34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Scalper BITM26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−R$ 684 (29% acerto)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6500"/>
                <w:sz w:val="19"/>
                <w:szCs w:val="19"/>
              </w:rPr>
              <w:t xml:space="preserve">perda reduzida ~60%; ainda sem edge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A lição central: com acerto de 42–50% (normal para tendência), </w:t>
      </w:r>
      <w:r>
        <w:rPr>
          <w:rFonts w:ascii="Arial" w:cs="Arial" w:eastAsia="Arial" w:hAnsi="Arial"/>
          <w:b/>
          <w:bCs/>
        </w:rPr>
        <w:t xml:space="preserve">quem decide o lucro é o RR e o alvo, não o win rate</w:t>
      </w:r>
      <w:r>
        <w:rPr>
          <w:rFonts w:ascii="Arial" w:cs="Arial" w:eastAsia="Arial" w:hAnsi="Arial"/>
        </w:rPr>
        <w:t xml:space="preserve">. O maior ganho veio de corrigir o alvo (TP1) e de tratar WIN e WDO como instrumentos diferentes.</w:t>
      </w:r>
    </w:p>
    <w:p>
      <w:pPr>
        <w:pStyle w:val="Heading1"/>
      </w:pPr>
      <w:r>
        <w:t xml:space="preserve">2. Como chegamos aqui (validação iterativa)</w:t>
      </w:r>
    </w:p>
    <w:p>
      <w:pPr>
        <w:spacing w:after="120"/>
      </w:pPr>
      <w:r>
        <w:t xml:space="preserve">Cada mudança foi medida por expectância em R (múltiplo de risco), não por intuição: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Diagnóstico inicial</w:t>
      </w:r>
      <w:r>
        <w:rPr>
          <w:rFonts w:ascii="Arial" w:cs="Arial" w:eastAsia="Arial" w:hAnsi="Arial"/>
        </w:rPr>
        <w:t xml:space="preserve">: nos 16 trades reais, filtros fracos e gate de IA que aprovava sem validar. 1ª hipótese (score alto = melhor) revelou-se overfit.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Backtest de 877 sinais</w:t>
      </w:r>
      <w:r>
        <w:rPr>
          <w:rFonts w:ascii="Arial" w:cs="Arial" w:eastAsia="Arial" w:hAnsi="Arial"/>
        </w:rPr>
        <w:t xml:space="preserve">: win rate plano em ~46–50% e caindo nos scores extremos (exaustão). Provou que o score não era o lever — o exit 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Teste de alvo (--rr)</w:t>
      </w:r>
      <w:r>
        <w:rPr>
          <w:rFonts w:ascii="Arial" w:cs="Arial" w:eastAsia="Arial" w:hAnsi="Arial"/>
        </w:rPr>
        <w:t xml:space="preserve">: alvo fixo 1,5R levou o WDO de +0,092 para +0,182 R. O TP1 antigo, encurtado ao S/R, derrubava o RR para ~1,0.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Divergência WIN×WDO</w:t>
      </w:r>
      <w:r>
        <w:rPr>
          <w:rFonts w:ascii="Arial" w:cs="Arial" w:eastAsia="Arial" w:hAnsi="Arial"/>
        </w:rPr>
        <w:t xml:space="preserve">: WIN só tem edge em score alto (≥9); WDO em score baixo (7–8). Daí o threshold por ativo.</w:t>
      </w:r>
    </w:p>
    <w:p>
      <w:pPr>
        <w:pStyle w:val="Heading1"/>
      </w:pPr>
      <w:r>
        <w:t xml:space="preserve">3. Configuração final validada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2760"/>
        <w:gridCol w:w="17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Threshold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Alvo (TP1)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Expectância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≥ 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mín. 1,5R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+0,057 R/tr (≥10: +0,34 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🟢 positivo (raro)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≥ 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mín. 1,5R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+0,179 R/tr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7D32"/>
                <w:sz w:val="19"/>
                <w:szCs w:val="19"/>
              </w:rPr>
              <w:t xml:space="preserve">🟢 consistente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Em unidades de risco (R), no período testado: </w:t>
      </w:r>
      <w:r>
        <w:rPr>
          <w:rFonts w:ascii="Arial" w:cs="Arial" w:eastAsia="Arial" w:hAnsi="Arial"/>
          <w:b/>
          <w:bCs/>
          <w:color w:val="1E7D32"/>
        </w:rPr>
        <w:t xml:space="preserve">WDO ~+45,7 R em 3 meses</w:t>
      </w:r>
      <w:r>
        <w:rPr>
          <w:rFonts w:ascii="Arial" w:cs="Arial" w:eastAsia="Arial" w:hAnsi="Arial"/>
        </w:rPr>
        <w:t xml:space="preserve"> (255 trades) e </w:t>
      </w:r>
      <w:r>
        <w:rPr>
          <w:rFonts w:ascii="Arial" w:cs="Arial" w:eastAsia="Arial" w:hAnsi="Arial"/>
          <w:b/>
          <w:bCs/>
        </w:rPr>
        <w:t xml:space="preserve">WIN ~+5,1 R em 4,5 meses</w:t>
      </w:r>
      <w:r>
        <w:rPr>
          <w:rFonts w:ascii="Arial" w:cs="Arial" w:eastAsia="Arial" w:hAnsi="Arial"/>
        </w:rPr>
        <w:t xml:space="preserve"> (90 trades). Traduza R para reais pelo seu risco por trade (ex.: se arrisca R$100/trade, WDO ≈ +R$ 4.570 no período).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Leitura honesta: </w:t>
      </w:r>
      <w:r>
        <w:rPr>
          <w:rFonts w:ascii="Arial" w:cs="Arial" w:eastAsia="Arial" w:hAnsi="Arial"/>
        </w:rPr>
        <w:t xml:space="preserve">o </w:t>
      </w:r>
      <w:r>
        <w:rPr>
          <w:rFonts w:ascii="Arial" w:cs="Arial" w:eastAsia="Arial" w:hAnsi="Arial"/>
          <w:b/>
          <w:bCs/>
        </w:rPr>
        <w:t xml:space="preserve">WDO é o motor de resultado</w:t>
      </w:r>
      <w:r>
        <w:rPr>
          <w:rFonts w:ascii="Arial" w:cs="Arial" w:eastAsia="Arial" w:hAnsi="Arial"/>
        </w:rPr>
        <w:t xml:space="preserve">; o WIN é positivo mas marginal e de baixa frequência (~30 sinais fortes em 4,5 meses). Priorize o WDO.</w:t>
      </w:r>
    </w:p>
    <w:p>
      <w:pPr>
        <w:pStyle w:val="Heading1"/>
      </w:pPr>
      <w:r>
        <w:t xml:space="preserve">4. Aprendizados-chave (para não regredir)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Win rate não é lucro. </w:t>
      </w:r>
      <w:r>
        <w:rPr>
          <w:rFonts w:ascii="Arial" w:cs="Arial" w:eastAsia="Arial" w:hAnsi="Arial"/>
        </w:rPr>
        <w:t xml:space="preserve">46% com alvo 1,5R ganha; 46% com alvo 1,0R perde. Sempre medir expectância em 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Score extremo = exaustão. </w:t>
      </w:r>
      <w:r>
        <w:rPr>
          <w:rFonts w:ascii="Arial" w:cs="Arial" w:eastAsia="Arial" w:hAnsi="Arial"/>
        </w:rPr>
        <w:t xml:space="preserve">Em WIN, WDO e no scalper, |score| muito alto piora — o movimento já aconteceu. Daí o teto ≥11.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Ativos são diferentes. </w:t>
      </w:r>
      <w:r>
        <w:rPr>
          <w:rFonts w:ascii="Arial" w:cs="Arial" w:eastAsia="Arial" w:hAnsi="Arial"/>
        </w:rPr>
        <w:t xml:space="preserve">WIN e WDO têm perfis opostos de score; um único parâmetro para os dois é subótimo.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 exit é o maior lever. </w:t>
      </w:r>
      <w:r>
        <w:rPr>
          <w:rFonts w:ascii="Arial" w:cs="Arial" w:eastAsia="Arial" w:hAnsi="Arial"/>
        </w:rPr>
        <w:t xml:space="preserve">Não deixar o alvo ser encurtado abaixo de 1,5R foi a mudança mais lucrativa.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Validar com dados, não com fé. </w:t>
      </w:r>
      <w:r>
        <w:rPr>
          <w:rFonts w:ascii="Arial" w:cs="Arial" w:eastAsia="Arial" w:hAnsi="Arial"/>
        </w:rPr>
        <w:t xml:space="preserve">Cada ajuste passou pelo backtest antes de virar regra.</w:t>
      </w:r>
    </w:p>
    <w:p>
      <w:pPr>
        <w:pStyle w:val="Heading1"/>
      </w:pPr>
      <w:r>
        <w:t xml:space="preserve">5. Todas as alterações no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900"/>
        <w:gridCol w:w="37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quê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Antes → Depois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technical_analysis.py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Threshold de sinal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±4 → ±7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technical_analysis.py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Filtro direcional (1h)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EMA200+1h → 1h veta contra-tendência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technical_analysis.py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Teto de exaustão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(nenhum) → |score|≥11 vira NEUTRO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technical_analysis.py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Alvo TP1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S/R (encurtava) → mínimo 1,5R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technical_analysis.py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ADX mínimo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→ 23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trade_executor.py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Threshold por ativo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4 → WIN 9 / WDO 7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trade_executor.py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Guarda de RR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(nenhum) → 0,5 (anti-setup-quebrado)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signal_validator_ai.py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 em falha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fail-open → fail-closed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signal_validator_ai.py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Prompt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genérico → especialista WIN/WDO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signal_validator_ai.py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Health-check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(nenhum) → check_ai_health()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IA timeout/erro + order flow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fail-closed + confirmação de fluxo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scalper_service.py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Exaustão (burst+tape)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penalidade → HARD BLOCK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scalper_bp.py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BITM26 (piso/freq.)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 / 45s / 10 → 65 / 90s / 6</w:t>
            </w:r>
          </w:p>
        </w:tc>
      </w:tr>
    </w:tbl>
    <w:p>
      <w:pPr>
        <w:pStyle w:val="Heading1"/>
      </w:pPr>
      <w:r>
        <w:t xml:space="preserve">6. Novos agentes e ferramentas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Order flow no Monitor</w:t>
      </w:r>
      <w:r>
        <w:rPr>
          <w:rFonts w:ascii="Arial" w:cs="Arial" w:eastAsia="Arial" w:hAnsi="Arial"/>
        </w:rPr>
        <w:t xml:space="preserve"> (orderflow_mt5.py): book/DOM + agressão + volume real confirmam a direção antes de executar; veta só contradição forte.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Agente-supervisor do Scalper</w:t>
      </w:r>
      <w:r>
        <w:rPr>
          <w:rFonts w:ascii="Arial" w:cs="Arial" w:eastAsia="Arial" w:hAnsi="Arial"/>
        </w:rPr>
        <w:t xml:space="preserve"> (scalper_supervisor.py): roda periodicamente (não a cada trade), recomenda CONTINUAR/ENDURECER/PAUSAR/REVISAR e pode pausar sozinho. Já detectou viés comprador extremo (20 compras / 0 vendas).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Health-check do Azure</w:t>
      </w:r>
      <w:r>
        <w:rPr>
          <w:rFonts w:ascii="Arial" w:cs="Arial" w:eastAsia="Arial" w:hAnsi="Arial"/>
        </w:rPr>
        <w:t xml:space="preserve"> (check_azure.py): confirma se o gate de IA está no ar, para o auto-trade não ficar parado em silêncio.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Backtest MT5</w:t>
      </w:r>
      <w:r>
        <w:rPr>
          <w:rFonts w:ascii="Arial" w:cs="Arial" w:eastAsia="Arial" w:hAnsi="Arial"/>
        </w:rPr>
        <w:t xml:space="preserve"> (backtest_mt5.py): dados reais do MT5, mede expectância/profit factor e testa alvos (--rr) e thresholds.</w:t>
      </w:r>
    </w:p>
    <w:p>
      <w:pPr>
        <w:pStyle w:val="Heading1"/>
      </w:pPr>
      <w:r>
        <w:t xml:space="preserve">7. Próximos passos e ressalvas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Reiniciar o app</w:t>
      </w:r>
      <w:r>
        <w:rPr>
          <w:rFonts w:ascii="Arial" w:cs="Arial" w:eastAsia="Arial" w:hAnsi="Arial"/>
        </w:rPr>
        <w:t xml:space="preserve"> para carregar o motor v6.2.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Rodar check_azure.py</w:t>
      </w:r>
      <w:r>
        <w:rPr>
          <w:rFonts w:ascii="Arial" w:cs="Arial" w:eastAsia="Arial" w:hAnsi="Arial"/>
        </w:rPr>
        <w:t xml:space="preserve"> antes de operar (o gate é fail-closed).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Conta demo por 2–3 semanas</w:t>
      </w:r>
      <w:r>
        <w:rPr>
          <w:rFonts w:ascii="Arial" w:cs="Arial" w:eastAsia="Arial" w:hAnsi="Arial"/>
        </w:rPr>
        <w:t xml:space="preserve"> com a config final antes de escalar — 4 meses é robusto, mas mercado ao vivo tem custos (slippage, spread) não capturados no backtest.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Priorizar o WDO</w:t>
      </w:r>
      <w:r>
        <w:rPr>
          <w:rFonts w:ascii="Arial" w:cs="Arial" w:eastAsia="Arial" w:hAnsi="Arial"/>
        </w:rPr>
        <w:t xml:space="preserve">; tratar o WIN como complemento de sinais fortes.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Scalper BITM26</w:t>
      </w:r>
      <w:r>
        <w:rPr>
          <w:rFonts w:ascii="Arial" w:cs="Arial" w:eastAsia="Arial" w:hAnsi="Arial"/>
        </w:rPr>
        <w:t xml:space="preserve">: manter em demo — as correções reduziram a perda mas ele ainda não tem edge comprovado. Considerar aplicar a mesma disciplina de expectância/exit que salvou o Monitor.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Agendar o supervisor</w:t>
      </w:r>
      <w:r>
        <w:rPr>
          <w:rFonts w:ascii="Arial" w:cs="Arial" w:eastAsia="Arial" w:hAnsi="Arial"/>
        </w:rPr>
        <w:t xml:space="preserve"> (a cada 15–30 min) para vigiar o scalper automaticamente.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</w:rPr>
        <w:t xml:space="preserve">Custos vs. slippage: </w:t>
      </w:r>
      <w:r>
        <w:rPr>
          <w:rFonts w:ascii="Arial" w:cs="Arial" w:eastAsia="Arial" w:hAnsi="Arial"/>
          <w:i/>
          <w:iCs/>
        </w:rPr>
        <w:t xml:space="preserve">a expectância do WIN (+0,057 R) é fina e pode virar negativa com custos reais. O WDO (+0,179 R) tem margem confortável. Confirme na demo antes de confiar no WIN ao vivo.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Trader Analizer — Assertividade v6.2 (final)   ·   pág.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2026-07-01T12:21:36.165Z</dcterms:created>
  <dcterms:modified xsi:type="dcterms:W3CDTF">2026-07-01T12:21:36.166Z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