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6263640" cy="8961120"/>
            <wp:docPr id="1" name="Picture 1" descr="Capa com a assinatura dourada do escritório Haroldo Lobo Advogados sobre fundo pre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896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40"/>
      </w:pPr>
      <w:r>
        <w:rPr>
          <w:rFonts w:ascii="Inter" w:hAnsi="Inter"/>
          <w:b/>
          <w:i w:val="0"/>
          <w:color w:val="8B683B"/>
          <w:sz w:val="17"/>
          <w:spacing w:val="19"/>
        </w:rPr>
        <w:t>01 / FUNDAMENTOS</w:t>
      </w:r>
    </w:p>
    <w:p>
      <w:pPr>
        <w:pStyle w:val="Heading1"/>
        <w:spacing w:after="80"/>
      </w:pPr>
      <w:r>
        <w:rPr>
          <w:rFonts w:ascii="EB Garamond" w:hAnsi="EB Garamond"/>
          <w:b w:val="0"/>
          <w:i w:val="0"/>
          <w:color w:val="0F0F0E"/>
          <w:sz w:val="58"/>
        </w:rPr>
        <w:t>Uma identidade de confiança</w:t>
      </w:r>
    </w:p>
    <w:p>
      <w:pPr>
        <w:spacing w:after="280" w:line="286" w:lineRule="auto"/>
      </w:pPr>
      <w:r>
        <w:rPr>
          <w:rFonts w:ascii="Inter" w:hAnsi="Inter"/>
          <w:b w:val="0"/>
          <w:i w:val="0"/>
          <w:color w:val="6E6B66"/>
          <w:sz w:val="20"/>
        </w:rPr>
        <w:t>Este manual orienta a criação de todas as peças futuras do Haroldo Lobo Advogados. A consistência visual deve transmitir seriedade sem perder clareza e proximidade.</w:t>
      </w:r>
    </w:p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Posicionamento visual</w:t>
      </w:r>
    </w:p>
    <w:p>
      <w:pPr>
        <w:spacing w:after="200" w:line="286" w:lineRule="auto"/>
      </w:pPr>
      <w:r>
        <w:rPr>
          <w:rFonts w:ascii="Inter" w:hAnsi="Inter"/>
          <w:b w:val="0"/>
          <w:i w:val="0"/>
          <w:color w:val="24211E"/>
          <w:sz w:val="19"/>
        </w:rPr>
        <w:t>A marca combina referências clássicas da advocacia com uma apresentação digital contemporânea. Seu sistema não depende de efeitos chamativos: ele se apoia em hierarquia, equilíbrio, contraste e materiais visuais discretos.</w:t>
      </w:r>
    </w:p>
    <w:p>
      <w:pPr>
        <w:spacing w:after="140" w:line="286" w:lineRule="auto"/>
      </w:pPr>
      <w:r>
        <w:rPr>
          <w:rFonts w:ascii="Inter" w:hAnsi="Inter"/>
          <w:b/>
          <w:i w:val="0"/>
          <w:color w:val="24211E"/>
          <w:sz w:val="19"/>
        </w:rPr>
        <w:t xml:space="preserve">Personalidade  /  </w:t>
      </w:r>
      <w:r>
        <w:rPr>
          <w:rFonts w:ascii="Inter" w:hAnsi="Inter"/>
          <w:b w:val="0"/>
          <w:i w:val="0"/>
          <w:color w:val="24211E"/>
          <w:sz w:val="19"/>
        </w:rPr>
        <w:t>Sólida, respeitosa, criteriosa e acessível.</w:t>
      </w:r>
    </w:p>
    <w:p>
      <w:pPr>
        <w:spacing w:after="140" w:line="286" w:lineRule="auto"/>
      </w:pPr>
      <w:r>
        <w:rPr>
          <w:rFonts w:ascii="Inter" w:hAnsi="Inter"/>
          <w:b/>
          <w:i w:val="0"/>
          <w:color w:val="24211E"/>
          <w:sz w:val="19"/>
        </w:rPr>
        <w:t xml:space="preserve">Sensação desejada  /  </w:t>
      </w:r>
      <w:r>
        <w:rPr>
          <w:rFonts w:ascii="Inter" w:hAnsi="Inter"/>
          <w:b w:val="0"/>
          <w:i w:val="0"/>
          <w:color w:val="24211E"/>
          <w:sz w:val="19"/>
        </w:rPr>
        <w:t>Confiança, estabilidade, clareza e profissionalismo.</w:t>
      </w:r>
    </w:p>
    <w:p>
      <w:pPr>
        <w:spacing w:after="140" w:line="286" w:lineRule="auto"/>
      </w:pPr>
      <w:r>
        <w:rPr>
          <w:rFonts w:ascii="Inter" w:hAnsi="Inter"/>
          <w:b/>
          <w:i w:val="0"/>
          <w:color w:val="24211E"/>
          <w:sz w:val="19"/>
        </w:rPr>
        <w:t xml:space="preserve">Diretriz central  /  </w:t>
      </w:r>
      <w:r>
        <w:rPr>
          <w:rFonts w:ascii="Inter" w:hAnsi="Inter"/>
          <w:b w:val="0"/>
          <w:i w:val="0"/>
          <w:color w:val="24211E"/>
          <w:sz w:val="19"/>
        </w:rPr>
        <w:t>Elegância contida: o símbolo identifica, o conteúdo informa.</w:t>
      </w:r>
    </w:p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Construção do símbolo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72"/>
        <w:gridCol w:w="5832"/>
      </w:tblGrid>
      <w:tr>
        <w:tc>
          <w:tcPr>
            <w:tcW w:type="dxa" w:w="4961"/>
            <w:shd w:fill="0F0F0E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38528" cy="2029345"/>
                  <wp:docPr id="2" name="Picture 2" descr="Símbolo dourado composto por escudo, espada central, monograma HL e ramos de louro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bol_cro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528" cy="20293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1"/>
            <w:tcMar>
              <w:top w:w="125" w:type="dxa"/>
              <w:start w:w="180" w:type="dxa"/>
              <w:bottom w:w="125" w:type="dxa"/>
              <w:end w:w="90" w:type="dxa"/>
            </w:tcMar>
          </w:tcPr>
          <w:p/>
          <w:p>
            <w:pPr>
              <w:spacing w:after="160"/>
            </w:pPr>
            <w:r>
              <w:rPr>
                <w:rFonts w:ascii="Inter" w:hAnsi="Inter"/>
                <w:b/>
                <w:i w:val="0"/>
                <w:color w:val="0F0F0E"/>
                <w:sz w:val="18"/>
              </w:rPr>
              <w:t xml:space="preserve">Escudo  </w:t>
            </w:r>
            <w:r>
              <w:rPr>
                <w:rFonts w:ascii="Inter" w:hAnsi="Inter"/>
                <w:b w:val="0"/>
                <w:i w:val="0"/>
                <w:color w:val="24211E"/>
                <w:sz w:val="18"/>
              </w:rPr>
              <w:t>Proteção, solidez institucional e segurança.</w:t>
            </w:r>
          </w:p>
          <w:p>
            <w:pPr>
              <w:spacing w:after="160"/>
            </w:pPr>
            <w:r>
              <w:rPr>
                <w:rFonts w:ascii="Inter" w:hAnsi="Inter"/>
                <w:b/>
                <w:i w:val="0"/>
                <w:color w:val="0F0F0E"/>
                <w:sz w:val="18"/>
              </w:rPr>
              <w:t xml:space="preserve">Espada  </w:t>
            </w:r>
            <w:r>
              <w:rPr>
                <w:rFonts w:ascii="Inter" w:hAnsi="Inter"/>
                <w:b w:val="0"/>
                <w:i w:val="0"/>
                <w:color w:val="24211E"/>
                <w:sz w:val="18"/>
              </w:rPr>
              <w:t>Firmeza, discernimento e atuação jurídica.</w:t>
            </w:r>
          </w:p>
          <w:p>
            <w:pPr>
              <w:spacing w:after="160"/>
            </w:pPr>
            <w:r>
              <w:rPr>
                <w:rFonts w:ascii="Inter" w:hAnsi="Inter"/>
                <w:b/>
                <w:i w:val="0"/>
                <w:color w:val="0F0F0E"/>
                <w:sz w:val="18"/>
              </w:rPr>
              <w:t xml:space="preserve">Monograma HL  </w:t>
            </w:r>
            <w:r>
              <w:rPr>
                <w:rFonts w:ascii="Inter" w:hAnsi="Inter"/>
                <w:b w:val="0"/>
                <w:i w:val="0"/>
                <w:color w:val="24211E"/>
                <w:sz w:val="18"/>
              </w:rPr>
              <w:t>Assinatura proprietária do nome Haroldo Lobo.</w:t>
            </w:r>
          </w:p>
          <w:p>
            <w:pPr>
              <w:spacing w:after="160"/>
            </w:pPr>
            <w:r>
              <w:rPr>
                <w:rFonts w:ascii="Inter" w:hAnsi="Inter"/>
                <w:b/>
                <w:i w:val="0"/>
                <w:color w:val="0F0F0E"/>
                <w:sz w:val="18"/>
              </w:rPr>
              <w:t xml:space="preserve">Louros  </w:t>
            </w:r>
            <w:r>
              <w:rPr>
                <w:rFonts w:ascii="Inter" w:hAnsi="Inter"/>
                <w:b w:val="0"/>
                <w:i w:val="0"/>
                <w:color w:val="24211E"/>
                <w:sz w:val="18"/>
              </w:rPr>
              <w:t>Tradição, prestígio e continuidade.</w:t>
            </w:r>
          </w:p>
        </w:tc>
      </w:tr>
    </w:tbl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Princípio de reconhecimento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922"/>
            <w:shd w:fill="F2E9DA"/>
            <w:tcMar>
              <w:top w:w="145" w:type="dxa"/>
              <w:start w:w="190" w:type="dxa"/>
              <w:bottom w:w="145" w:type="dxa"/>
              <w:end w:w="19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24211E"/>
                <w:sz w:val="18"/>
              </w:rPr>
              <w:t>Preservar sempre o conjunto escudo + espada + monograma HL + louros. A retirada de um desses elementos constitui uma nova versão e exige aprovação formal da marca.</w:t>
            </w:r>
          </w:p>
        </w:tc>
      </w:tr>
    </w:tbl>
    <w:p>
      <w:r>
        <w:br w:type="page"/>
      </w:r>
    </w:p>
    <w:p>
      <w:pPr>
        <w:spacing w:before="200" w:after="140"/>
      </w:pPr>
      <w:r>
        <w:rPr>
          <w:rFonts w:ascii="Inter" w:hAnsi="Inter"/>
          <w:b/>
          <w:i w:val="0"/>
          <w:color w:val="8B683B"/>
          <w:sz w:val="17"/>
          <w:spacing w:val="19"/>
        </w:rPr>
        <w:t>02 / ASSINATURAS</w:t>
      </w:r>
    </w:p>
    <w:p>
      <w:pPr>
        <w:pStyle w:val="Heading1"/>
        <w:spacing w:after="80"/>
      </w:pPr>
      <w:r>
        <w:rPr>
          <w:rFonts w:ascii="EB Garamond" w:hAnsi="EB Garamond"/>
          <w:b w:val="0"/>
          <w:i w:val="0"/>
          <w:color w:val="0F0F0E"/>
          <w:sz w:val="58"/>
        </w:rPr>
        <w:t>Sistema de logotipos</w:t>
      </w:r>
    </w:p>
    <w:p>
      <w:pPr>
        <w:spacing w:after="280" w:line="286" w:lineRule="auto"/>
      </w:pPr>
      <w:r>
        <w:rPr>
          <w:rFonts w:ascii="Inter" w:hAnsi="Inter"/>
          <w:b w:val="0"/>
          <w:i w:val="0"/>
          <w:color w:val="6E6B66"/>
          <w:sz w:val="20"/>
        </w:rPr>
        <w:t>A marca possui duas aplicações prioritárias: assinatura completa e símbolo isolado. Use sempre um arquivo-mestre aprovado, nunca uma reconstrução manual.</w:t>
      </w:r>
    </w:p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A. Assinatura completa · uso principal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0F0F0E"/>
            <w:tcMar>
              <w:top w:w="115" w:type="dxa"/>
              <w:start w:w="125" w:type="dxa"/>
              <w:bottom w:w="115" w:type="dxa"/>
              <w:end w:w="12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2983112"/>
                  <wp:docPr id="3" name="Picture 3" descr="Assinatura principal com escudo, espada e louros acima do nome Haroldo Lobo Advogado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ll_cro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983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line="286" w:lineRule="auto"/>
      </w:pPr>
      <w:r>
        <w:rPr>
          <w:rFonts w:ascii="Inter" w:hAnsi="Inter"/>
          <w:b w:val="0"/>
          <w:i w:val="0"/>
          <w:color w:val="6E6B66"/>
          <w:sz w:val="17"/>
        </w:rPr>
        <w:t>Priorizar no cabeçalho do site, apresentações institucionais, documentos de capa, assinaturas e peças com espaço suficiente.</w:t>
      </w:r>
    </w:p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B. Símbolo isolado · uso complementar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0F0F0E"/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5296" cy="1282699"/>
                  <wp:docPr id="4" name="Picture 4" descr="Símbolo dourado isolado sobre fundo escuro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bol_cro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296" cy="12826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1"/>
            <w:shd w:fill="F7F3EB"/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5296" cy="1282699"/>
                  <wp:docPr id="5" name="Picture 5" descr="Símbolo monocromático escuro sobre fundo claro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bol_ink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296" cy="12826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line="286" w:lineRule="auto"/>
      </w:pPr>
      <w:r>
        <w:rPr>
          <w:rFonts w:ascii="Inter" w:hAnsi="Inter"/>
          <w:b w:val="0"/>
          <w:i w:val="0"/>
          <w:color w:val="6E6B66"/>
          <w:sz w:val="17"/>
        </w:rPr>
        <w:t>Indicado para favicon adaptado, avatar, selo, marca-d’água, capas e elementos de apoio. Em tamanhos muito pequenos, preferir uma versão simplificada, desenhada especificamente para miniaturas.</w:t>
      </w:r>
    </w:p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Variações autorizadas pelo sistema</w:t>
      </w:r>
    </w:p>
    <w:p>
      <w:pPr>
        <w:pStyle w:val="ListBullet"/>
        <w:spacing w:after="60"/>
        <w:ind w:left="306"/>
      </w:pPr>
      <w:r>
        <w:rPr>
          <w:rFonts w:ascii="Inter" w:hAnsi="Inter"/>
          <w:b w:val="0"/>
          <w:i w:val="0"/>
          <w:color w:val="24211E"/>
          <w:sz w:val="19"/>
        </w:rPr>
        <w:t>Dourado sobre fundo preto ou grafite: apresentação preferencial.</w:t>
      </w:r>
    </w:p>
    <w:p>
      <w:pPr>
        <w:pStyle w:val="ListBullet"/>
        <w:spacing w:after="60"/>
        <w:ind w:left="306"/>
      </w:pPr>
      <w:r>
        <w:rPr>
          <w:rFonts w:ascii="Inter" w:hAnsi="Inter"/>
          <w:b w:val="0"/>
          <w:i w:val="0"/>
          <w:color w:val="24211E"/>
          <w:sz w:val="19"/>
        </w:rPr>
        <w:t>Monocromática clara sobre fundo escuro: para casos de baixa reprodução de cor.</w:t>
      </w:r>
    </w:p>
    <w:p>
      <w:pPr>
        <w:pStyle w:val="ListBullet"/>
        <w:spacing w:after="60"/>
        <w:ind w:left="306"/>
      </w:pPr>
      <w:r>
        <w:rPr>
          <w:rFonts w:ascii="Inter" w:hAnsi="Inter"/>
          <w:b w:val="0"/>
          <w:i w:val="0"/>
          <w:color w:val="24211E"/>
          <w:sz w:val="19"/>
        </w:rPr>
        <w:t>Monocromática escura sobre fundo claro: documentos e interfaces claras.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922"/>
            <w:shd w:fill="F2E9DA"/>
            <w:tcMar>
              <w:top w:w="145" w:type="dxa"/>
              <w:start w:w="190" w:type="dxa"/>
              <w:bottom w:w="145" w:type="dxa"/>
              <w:end w:w="19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24211E"/>
                <w:sz w:val="18"/>
              </w:rPr>
              <w:t>A tipografia da assinatura original é arte do logotipo, não texto editável: jamais reescrever “HAROLDO LOBO” com uma fonte similar para substituir a marca.</w:t>
            </w:r>
          </w:p>
        </w:tc>
      </w:tr>
    </w:tbl>
    <w:p>
      <w:r>
        <w:br w:type="page"/>
      </w:r>
    </w:p>
    <w:p>
      <w:pPr>
        <w:spacing w:before="200" w:after="140"/>
      </w:pPr>
      <w:r>
        <w:rPr>
          <w:rFonts w:ascii="Inter" w:hAnsi="Inter"/>
          <w:b/>
          <w:i w:val="0"/>
          <w:color w:val="8B683B"/>
          <w:sz w:val="17"/>
          <w:spacing w:val="19"/>
        </w:rPr>
        <w:t>03 / PALETA</w:t>
      </w:r>
    </w:p>
    <w:p>
      <w:pPr>
        <w:pStyle w:val="Heading1"/>
        <w:spacing w:after="80"/>
      </w:pPr>
      <w:r>
        <w:rPr>
          <w:rFonts w:ascii="EB Garamond" w:hAnsi="EB Garamond"/>
          <w:b w:val="0"/>
          <w:i w:val="0"/>
          <w:color w:val="0F0F0E"/>
          <w:sz w:val="58"/>
        </w:rPr>
        <w:t>Cores oficiais de aplicação</w:t>
      </w:r>
    </w:p>
    <w:p>
      <w:pPr>
        <w:spacing w:after="280" w:line="286" w:lineRule="auto"/>
      </w:pPr>
      <w:r>
        <w:rPr>
          <w:rFonts w:ascii="Inter" w:hAnsi="Inter"/>
          <w:b w:val="0"/>
          <w:i w:val="0"/>
          <w:color w:val="6E6B66"/>
          <w:sz w:val="20"/>
        </w:rPr>
        <w:t>Os valores abaixo compõem uma paleta operacional recomendada a partir da referência visual existente. Os reflexos do arquivo metálico são efeitos gráficos, não cores únicas de impressão.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8640"/>
      </w:tblGrid>
      <w:tr>
        <w:tc>
          <w:tcPr>
            <w:tcW w:type="dxa" w:w="4961"/>
            <w:shd w:fill="0F0F0E"/>
            <w:tcMar>
              <w:top w:w="170" w:type="dxa"/>
              <w:start w:w="70" w:type="dxa"/>
              <w:bottom w:w="170" w:type="dxa"/>
              <w:end w:w="70" w:type="dxa"/>
            </w:tcMar>
          </w:tcPr>
          <w:p/>
        </w:tc>
        <w:tc>
          <w:tcPr>
            <w:tcW w:type="dxa" w:w="4961"/>
            <w:tcMar>
              <w:top w:w="48" w:type="dxa"/>
              <w:start w:w="130" w:type="dxa"/>
              <w:bottom w:w="50" w:type="dxa"/>
              <w:end w:w="100" w:type="dxa"/>
            </w:tcMar>
          </w:tcPr>
          <w:p>
            <w:r>
              <w:rPr>
                <w:rFonts w:ascii="Inter" w:hAnsi="Inter"/>
                <w:b/>
                <w:i w:val="0"/>
                <w:color w:val="0F0F0E"/>
                <w:sz w:val="18"/>
              </w:rPr>
              <w:t xml:space="preserve">Preto institucional  </w:t>
            </w:r>
            <w:r>
              <w:rPr>
                <w:rFonts w:ascii="Inter" w:hAnsi="Inter"/>
                <w:b w:val="0"/>
                <w:i w:val="0"/>
                <w:color w:val="8B683B"/>
                <w:sz w:val="17"/>
              </w:rPr>
              <w:t>#0F0F0E   |   RGB 15 · 15 · 14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6E6B66"/>
                <w:sz w:val="16"/>
              </w:rPr>
              <w:t>Base, cabeçalhos, fundos premium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8640"/>
      </w:tblGrid>
      <w:tr>
        <w:tc>
          <w:tcPr>
            <w:tcW w:type="dxa" w:w="4961"/>
            <w:shd w:fill="C7A46A"/>
            <w:tcMar>
              <w:top w:w="170" w:type="dxa"/>
              <w:start w:w="70" w:type="dxa"/>
              <w:bottom w:w="170" w:type="dxa"/>
              <w:end w:w="70" w:type="dxa"/>
            </w:tcMar>
          </w:tcPr>
          <w:p/>
        </w:tc>
        <w:tc>
          <w:tcPr>
            <w:tcW w:type="dxa" w:w="4961"/>
            <w:tcMar>
              <w:top w:w="48" w:type="dxa"/>
              <w:start w:w="130" w:type="dxa"/>
              <w:bottom w:w="50" w:type="dxa"/>
              <w:end w:w="100" w:type="dxa"/>
            </w:tcMar>
          </w:tcPr>
          <w:p>
            <w:r>
              <w:rPr>
                <w:rFonts w:ascii="Inter" w:hAnsi="Inter"/>
                <w:b/>
                <w:i w:val="0"/>
                <w:color w:val="0F0F0E"/>
                <w:sz w:val="18"/>
              </w:rPr>
              <w:t xml:space="preserve">Dourado principal  </w:t>
            </w:r>
            <w:r>
              <w:rPr>
                <w:rFonts w:ascii="Inter" w:hAnsi="Inter"/>
                <w:b w:val="0"/>
                <w:i w:val="0"/>
                <w:color w:val="8B683B"/>
                <w:sz w:val="17"/>
              </w:rPr>
              <w:t>#C7A46A   |   RGB 199 · 164 · 106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6E6B66"/>
                <w:sz w:val="16"/>
              </w:rPr>
              <w:t>Símbolo, detalhes e elementos de destaque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8640"/>
      </w:tblGrid>
      <w:tr>
        <w:tc>
          <w:tcPr>
            <w:tcW w:type="dxa" w:w="4961"/>
            <w:shd w:fill="E5C992"/>
            <w:tcMar>
              <w:top w:w="170" w:type="dxa"/>
              <w:start w:w="70" w:type="dxa"/>
              <w:bottom w:w="170" w:type="dxa"/>
              <w:end w:w="70" w:type="dxa"/>
            </w:tcMar>
          </w:tcPr>
          <w:p/>
        </w:tc>
        <w:tc>
          <w:tcPr>
            <w:tcW w:type="dxa" w:w="4961"/>
            <w:tcMar>
              <w:top w:w="48" w:type="dxa"/>
              <w:start w:w="130" w:type="dxa"/>
              <w:bottom w:w="50" w:type="dxa"/>
              <w:end w:w="100" w:type="dxa"/>
            </w:tcMar>
          </w:tcPr>
          <w:p>
            <w:r>
              <w:rPr>
                <w:rFonts w:ascii="Inter" w:hAnsi="Inter"/>
                <w:b/>
                <w:i w:val="0"/>
                <w:color w:val="0F0F0E"/>
                <w:sz w:val="18"/>
              </w:rPr>
              <w:t xml:space="preserve">Dourado claro  </w:t>
            </w:r>
            <w:r>
              <w:rPr>
                <w:rFonts w:ascii="Inter" w:hAnsi="Inter"/>
                <w:b w:val="0"/>
                <w:i w:val="0"/>
                <w:color w:val="8B683B"/>
                <w:sz w:val="17"/>
              </w:rPr>
              <w:t>#E5C992   |   RGB 229 · 201 · 146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6E6B66"/>
                <w:sz w:val="16"/>
              </w:rPr>
              <w:t>Brilhos, ornamentos e detalhes suaves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8640"/>
      </w:tblGrid>
      <w:tr>
        <w:tc>
          <w:tcPr>
            <w:tcW w:type="dxa" w:w="4961"/>
            <w:shd w:fill="8B683B"/>
            <w:tcMar>
              <w:top w:w="170" w:type="dxa"/>
              <w:start w:w="70" w:type="dxa"/>
              <w:bottom w:w="170" w:type="dxa"/>
              <w:end w:w="70" w:type="dxa"/>
            </w:tcMar>
          </w:tcPr>
          <w:p/>
        </w:tc>
        <w:tc>
          <w:tcPr>
            <w:tcW w:type="dxa" w:w="4961"/>
            <w:tcMar>
              <w:top w:w="48" w:type="dxa"/>
              <w:start w:w="130" w:type="dxa"/>
              <w:bottom w:w="50" w:type="dxa"/>
              <w:end w:w="100" w:type="dxa"/>
            </w:tcMar>
          </w:tcPr>
          <w:p>
            <w:r>
              <w:rPr>
                <w:rFonts w:ascii="Inter" w:hAnsi="Inter"/>
                <w:b/>
                <w:i w:val="0"/>
                <w:color w:val="0F0F0E"/>
                <w:sz w:val="18"/>
              </w:rPr>
              <w:t xml:space="preserve">Bronze de apoio  </w:t>
            </w:r>
            <w:r>
              <w:rPr>
                <w:rFonts w:ascii="Inter" w:hAnsi="Inter"/>
                <w:b w:val="0"/>
                <w:i w:val="0"/>
                <w:color w:val="8B683B"/>
                <w:sz w:val="17"/>
              </w:rPr>
              <w:t>#8B683B   |   RGB 139 · 104 · 59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6E6B66"/>
                <w:sz w:val="16"/>
              </w:rPr>
              <w:t>Linhas, rótulos e contornos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8640"/>
      </w:tblGrid>
      <w:tr>
        <w:tc>
          <w:tcPr>
            <w:tcW w:type="dxa" w:w="4961"/>
            <w:shd w:fill="F7F3EB"/>
            <w:tcMar>
              <w:top w:w="170" w:type="dxa"/>
              <w:start w:w="70" w:type="dxa"/>
              <w:bottom w:w="170" w:type="dxa"/>
              <w:end w:w="70" w:type="dxa"/>
            </w:tcMar>
          </w:tcPr>
          <w:p/>
        </w:tc>
        <w:tc>
          <w:tcPr>
            <w:tcW w:type="dxa" w:w="4961"/>
            <w:tcMar>
              <w:top w:w="48" w:type="dxa"/>
              <w:start w:w="130" w:type="dxa"/>
              <w:bottom w:w="50" w:type="dxa"/>
              <w:end w:w="100" w:type="dxa"/>
            </w:tcMar>
          </w:tcPr>
          <w:p>
            <w:r>
              <w:rPr>
                <w:rFonts w:ascii="Inter" w:hAnsi="Inter"/>
                <w:b/>
                <w:i w:val="0"/>
                <w:color w:val="0F0F0E"/>
                <w:sz w:val="18"/>
              </w:rPr>
              <w:t xml:space="preserve">Marfim  </w:t>
            </w:r>
            <w:r>
              <w:rPr>
                <w:rFonts w:ascii="Inter" w:hAnsi="Inter"/>
                <w:b w:val="0"/>
                <w:i w:val="0"/>
                <w:color w:val="8B683B"/>
                <w:sz w:val="17"/>
              </w:rPr>
              <w:t>#F7F3EB   |   RGB 247 · 243 · 235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6E6B66"/>
                <w:sz w:val="16"/>
              </w:rPr>
              <w:t>Páginas claras e superfícies neutras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8640"/>
      </w:tblGrid>
      <w:tr>
        <w:tc>
          <w:tcPr>
            <w:tcW w:type="dxa" w:w="4961"/>
            <w:shd w:fill="24211E"/>
            <w:tcMar>
              <w:top w:w="170" w:type="dxa"/>
              <w:start w:w="70" w:type="dxa"/>
              <w:bottom w:w="170" w:type="dxa"/>
              <w:end w:w="70" w:type="dxa"/>
            </w:tcMar>
          </w:tcPr>
          <w:p/>
        </w:tc>
        <w:tc>
          <w:tcPr>
            <w:tcW w:type="dxa" w:w="4961"/>
            <w:tcMar>
              <w:top w:w="48" w:type="dxa"/>
              <w:start w:w="130" w:type="dxa"/>
              <w:bottom w:w="50" w:type="dxa"/>
              <w:end w:w="100" w:type="dxa"/>
            </w:tcMar>
          </w:tcPr>
          <w:p>
            <w:r>
              <w:rPr>
                <w:rFonts w:ascii="Inter" w:hAnsi="Inter"/>
                <w:b/>
                <w:i w:val="0"/>
                <w:color w:val="0F0F0E"/>
                <w:sz w:val="18"/>
              </w:rPr>
              <w:t xml:space="preserve">Grafite  </w:t>
            </w:r>
            <w:r>
              <w:rPr>
                <w:rFonts w:ascii="Inter" w:hAnsi="Inter"/>
                <w:b w:val="0"/>
                <w:i w:val="0"/>
                <w:color w:val="8B683B"/>
                <w:sz w:val="17"/>
              </w:rPr>
              <w:t>#24211E   |   RGB 36 · 33 · 30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6E6B66"/>
                <w:sz w:val="16"/>
              </w:rPr>
              <w:t>Textos e superfícies escuras</w:t>
            </w:r>
          </w:p>
        </w:tc>
      </w:tr>
    </w:tbl>
    <w:p>
      <w:pPr>
        <w:spacing w:after="0"/>
      </w:pPr>
    </w:p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Dourado metálico · acabamento de destaque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561109"/>
            <wp:docPr id="6" name="Picture 6" descr="Faixa com gradações metálicas de bronze, dourado principal e dourado clar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ld_gradi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61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86" w:lineRule="auto"/>
      </w:pPr>
      <w:r>
        <w:rPr>
          <w:rFonts w:ascii="Inter" w:hAnsi="Inter"/>
          <w:b w:val="0"/>
          <w:i w:val="0"/>
          <w:color w:val="24211E"/>
          <w:sz w:val="18"/>
        </w:rPr>
        <w:t>O degradê serve apenas para tratamentos especiais da marca ou peças com espaço. Para botões, bordas, ícones de interface e CSS, preferir a cor sólida #C7A46A.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922"/>
            <w:shd w:fill="F2E9DA"/>
            <w:tcMar>
              <w:top w:w="145" w:type="dxa"/>
              <w:start w:w="190" w:type="dxa"/>
              <w:bottom w:w="145" w:type="dxa"/>
              <w:end w:w="19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24211E"/>
                <w:sz w:val="18"/>
              </w:rPr>
              <w:t>Valores CMYK são referências aproximadas; a gráfica deverá convertê-los pelo perfil de cor e substrato. Em interfaces, usar HEX/RGB. Evite texto dourado pequeno sobre marfim: o contraste é insuficiente.</w:t>
            </w:r>
          </w:p>
        </w:tc>
      </w:tr>
    </w:tbl>
    <w:p>
      <w:r>
        <w:br w:type="page"/>
      </w:r>
    </w:p>
    <w:p>
      <w:pPr>
        <w:spacing w:before="200" w:after="140"/>
      </w:pPr>
      <w:r>
        <w:rPr>
          <w:rFonts w:ascii="Inter" w:hAnsi="Inter"/>
          <w:b/>
          <w:i w:val="0"/>
          <w:color w:val="8B683B"/>
          <w:sz w:val="17"/>
          <w:spacing w:val="19"/>
        </w:rPr>
        <w:t>04 / TIPOGRAFIA</w:t>
      </w:r>
    </w:p>
    <w:p>
      <w:pPr>
        <w:pStyle w:val="Heading1"/>
        <w:spacing w:after="80"/>
      </w:pPr>
      <w:r>
        <w:rPr>
          <w:rFonts w:ascii="EB Garamond" w:hAnsi="EB Garamond"/>
          <w:b w:val="0"/>
          <w:i w:val="0"/>
          <w:color w:val="0F0F0E"/>
          <w:sz w:val="58"/>
        </w:rPr>
        <w:t>Sistema tipográfico</w:t>
      </w:r>
    </w:p>
    <w:p>
      <w:pPr>
        <w:spacing w:after="280" w:line="286" w:lineRule="auto"/>
      </w:pPr>
      <w:r>
        <w:rPr>
          <w:rFonts w:ascii="Inter" w:hAnsi="Inter"/>
          <w:b w:val="0"/>
          <w:i w:val="0"/>
          <w:color w:val="6E6B66"/>
          <w:sz w:val="20"/>
        </w:rPr>
        <w:t>A identidade combina uma serifada editorial, ligada à tradição jurídica, com uma sem serifa precisa para interfaces e leitura prolongada.</w:t>
      </w:r>
    </w:p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Fonte de destaque · EB Garamond</w:t>
      </w:r>
    </w:p>
    <w:p>
      <w:pPr>
        <w:spacing w:before="20" w:after="0"/>
      </w:pPr>
      <w:r>
        <w:rPr>
          <w:rFonts w:ascii="EB Garamond" w:hAnsi="EB Garamond"/>
          <w:b w:val="0"/>
          <w:i w:val="0"/>
          <w:color w:val="0F0F0E"/>
          <w:sz w:val="64"/>
        </w:rPr>
        <w:t>A confiança nasce da clareza.</w:t>
      </w:r>
    </w:p>
    <w:p>
      <w:pPr>
        <w:spacing w:after="220" w:line="286" w:lineRule="auto"/>
      </w:pPr>
      <w:r>
        <w:rPr>
          <w:rFonts w:ascii="Inter" w:hAnsi="Inter"/>
          <w:b w:val="0"/>
          <w:i w:val="0"/>
          <w:color w:val="6E6B66"/>
          <w:sz w:val="17"/>
        </w:rPr>
        <w:t>Títulos, chamadas institucionais, citações curtas, aberturas de seção. Pesos recomendados: Regular, Medium e Semibold quando disponível.</w:t>
      </w:r>
    </w:p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Fonte funcional · Inter</w:t>
      </w:r>
    </w:p>
    <w:p>
      <w:pPr>
        <w:spacing w:after="100"/>
      </w:pPr>
      <w:r>
        <w:rPr>
          <w:rFonts w:ascii="Inter" w:hAnsi="Inter"/>
          <w:b w:val="0"/>
          <w:i w:val="0"/>
          <w:color w:val="0F0F0E"/>
          <w:sz w:val="26"/>
        </w:rPr>
        <w:t>Informação objetiva, leitura confortável e hierarquia clara.</w:t>
      </w:r>
    </w:p>
    <w:p>
      <w:pPr>
        <w:spacing w:after="200" w:line="286" w:lineRule="auto"/>
      </w:pPr>
      <w:r>
        <w:rPr>
          <w:rFonts w:ascii="Inter" w:hAnsi="Inter"/>
          <w:b w:val="0"/>
          <w:i w:val="0"/>
          <w:color w:val="6E6B66"/>
          <w:sz w:val="17"/>
        </w:rPr>
        <w:t>Parágrafos, legendas, menus, formulários, botões, dados e textos jurídicos digitais. Pesos: Regular, Medium e Semibold.</w:t>
      </w:r>
    </w:p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Escala recomendada para o site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0F0F0E"/>
            <w:tcMar>
              <w:top w:w="96" w:type="dxa"/>
              <w:start w:w="112" w:type="dxa"/>
              <w:bottom w:w="96" w:type="dxa"/>
              <w:end w:w="112" w:type="dxa"/>
            </w:tcMar>
          </w:tcPr>
          <w:p>
            <w:r>
              <w:rPr>
                <w:rFonts w:ascii="Inter" w:hAnsi="Inter"/>
                <w:b/>
                <w:i w:val="0"/>
                <w:color w:val="F7F3EB"/>
                <w:sz w:val="17"/>
              </w:rPr>
              <w:t>ELEMENTO</w:t>
            </w:r>
          </w:p>
        </w:tc>
        <w:tc>
          <w:tcPr>
            <w:tcW w:type="dxa" w:w="2480"/>
            <w:shd w:fill="0F0F0E"/>
            <w:tcMar>
              <w:top w:w="96" w:type="dxa"/>
              <w:start w:w="112" w:type="dxa"/>
              <w:bottom w:w="96" w:type="dxa"/>
              <w:end w:w="112" w:type="dxa"/>
            </w:tcMar>
          </w:tcPr>
          <w:p>
            <w:r>
              <w:rPr>
                <w:rFonts w:ascii="Inter" w:hAnsi="Inter"/>
                <w:b/>
                <w:i w:val="0"/>
                <w:color w:val="F7F3EB"/>
                <w:sz w:val="17"/>
              </w:rPr>
              <w:t>DESKTOP</w:t>
            </w:r>
          </w:p>
        </w:tc>
        <w:tc>
          <w:tcPr>
            <w:tcW w:type="dxa" w:w="2480"/>
            <w:shd w:fill="0F0F0E"/>
            <w:tcMar>
              <w:top w:w="96" w:type="dxa"/>
              <w:start w:w="112" w:type="dxa"/>
              <w:bottom w:w="96" w:type="dxa"/>
              <w:end w:w="112" w:type="dxa"/>
            </w:tcMar>
          </w:tcPr>
          <w:p>
            <w:r>
              <w:rPr>
                <w:rFonts w:ascii="Inter" w:hAnsi="Inter"/>
                <w:b/>
                <w:i w:val="0"/>
                <w:color w:val="F7F3EB"/>
                <w:sz w:val="17"/>
              </w:rPr>
              <w:t>MOBILE</w:t>
            </w:r>
          </w:p>
        </w:tc>
        <w:tc>
          <w:tcPr>
            <w:tcW w:type="dxa" w:w="2480"/>
            <w:shd w:fill="0F0F0E"/>
            <w:tcMar>
              <w:top w:w="96" w:type="dxa"/>
              <w:start w:w="112" w:type="dxa"/>
              <w:bottom w:w="96" w:type="dxa"/>
              <w:end w:w="112" w:type="dxa"/>
            </w:tcMar>
          </w:tcPr>
          <w:p>
            <w:r>
              <w:rPr>
                <w:rFonts w:ascii="Inter" w:hAnsi="Inter"/>
                <w:b/>
                <w:i w:val="0"/>
                <w:color w:val="F7F3EB"/>
                <w:sz w:val="17"/>
              </w:rPr>
              <w:t>FONTE / ENTRELINHA</w:t>
            </w:r>
          </w:p>
        </w:tc>
      </w:tr>
      <w:tr>
        <w:tc>
          <w:tcPr>
            <w:tcW w:type="dxa" w:w="2480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/>
                <w:i w:val="0"/>
                <w:color w:val="24211E"/>
                <w:sz w:val="17"/>
              </w:rPr>
              <w:t>Título principal (H1)</w:t>
            </w:r>
          </w:p>
        </w:tc>
        <w:tc>
          <w:tcPr>
            <w:tcW w:type="dxa" w:w="2480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52–64 px</w:t>
            </w:r>
          </w:p>
        </w:tc>
        <w:tc>
          <w:tcPr>
            <w:tcW w:type="dxa" w:w="2480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34–42 px</w:t>
            </w:r>
          </w:p>
        </w:tc>
        <w:tc>
          <w:tcPr>
            <w:tcW w:type="dxa" w:w="2480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EB Garamond · 1.05–1.15</w:t>
            </w:r>
          </w:p>
        </w:tc>
      </w:tr>
      <w:tr>
        <w:tc>
          <w:tcPr>
            <w:tcW w:type="dxa" w:w="2480"/>
            <w:tcMar>
              <w:top w:w="95" w:type="dxa"/>
              <w:start w:w="112" w:type="dxa"/>
              <w:bottom w:w="95" w:type="dxa"/>
              <w:end w:w="112" w:type="dxa"/>
            </w:tcMar>
          </w:tcPr>
          <w:p>
            <w:pPr>
              <w:spacing w:after="0" w:line="271" w:lineRule="auto"/>
            </w:pPr>
            <w:r>
              <w:rPr>
                <w:rFonts w:ascii="Inter" w:hAnsi="Inter"/>
                <w:b/>
                <w:i w:val="0"/>
                <w:color w:val="24211E"/>
                <w:sz w:val="17"/>
              </w:rPr>
              <w:t>Título de seção (H2)</w:t>
            </w:r>
          </w:p>
        </w:tc>
        <w:tc>
          <w:tcPr>
            <w:tcW w:type="dxa" w:w="2480"/>
            <w:tcMar>
              <w:top w:w="95" w:type="dxa"/>
              <w:start w:w="112" w:type="dxa"/>
              <w:bottom w:w="95" w:type="dxa"/>
              <w:end w:w="112" w:type="dxa"/>
            </w:tcMar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34–44 px</w:t>
            </w:r>
          </w:p>
        </w:tc>
        <w:tc>
          <w:tcPr>
            <w:tcW w:type="dxa" w:w="2480"/>
            <w:tcMar>
              <w:top w:w="95" w:type="dxa"/>
              <w:start w:w="112" w:type="dxa"/>
              <w:bottom w:w="95" w:type="dxa"/>
              <w:end w:w="112" w:type="dxa"/>
            </w:tcMar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28–34 px</w:t>
            </w:r>
          </w:p>
        </w:tc>
        <w:tc>
          <w:tcPr>
            <w:tcW w:type="dxa" w:w="2480"/>
            <w:tcMar>
              <w:top w:w="95" w:type="dxa"/>
              <w:start w:w="112" w:type="dxa"/>
              <w:bottom w:w="95" w:type="dxa"/>
              <w:end w:w="112" w:type="dxa"/>
            </w:tcMar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EB Garamond · 1.1–1.2</w:t>
            </w:r>
          </w:p>
        </w:tc>
      </w:tr>
      <w:tr>
        <w:tc>
          <w:tcPr>
            <w:tcW w:type="dxa" w:w="2480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/>
                <w:i w:val="0"/>
                <w:color w:val="24211E"/>
                <w:sz w:val="17"/>
              </w:rPr>
              <w:t>Subtítulo (H3)</w:t>
            </w:r>
          </w:p>
        </w:tc>
        <w:tc>
          <w:tcPr>
            <w:tcW w:type="dxa" w:w="2480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24–28 px</w:t>
            </w:r>
          </w:p>
        </w:tc>
        <w:tc>
          <w:tcPr>
            <w:tcW w:type="dxa" w:w="2480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22–24 px</w:t>
            </w:r>
          </w:p>
        </w:tc>
        <w:tc>
          <w:tcPr>
            <w:tcW w:type="dxa" w:w="2480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EB Garamond · 1.2</w:t>
            </w:r>
          </w:p>
        </w:tc>
      </w:tr>
      <w:tr>
        <w:tc>
          <w:tcPr>
            <w:tcW w:type="dxa" w:w="2480"/>
            <w:tcMar>
              <w:top w:w="95" w:type="dxa"/>
              <w:start w:w="112" w:type="dxa"/>
              <w:bottom w:w="95" w:type="dxa"/>
              <w:end w:w="112" w:type="dxa"/>
            </w:tcMar>
          </w:tcPr>
          <w:p>
            <w:pPr>
              <w:spacing w:after="0" w:line="271" w:lineRule="auto"/>
            </w:pPr>
            <w:r>
              <w:rPr>
                <w:rFonts w:ascii="Inter" w:hAnsi="Inter"/>
                <w:b/>
                <w:i w:val="0"/>
                <w:color w:val="24211E"/>
                <w:sz w:val="17"/>
              </w:rPr>
              <w:t>Corpo de texto</w:t>
            </w:r>
          </w:p>
        </w:tc>
        <w:tc>
          <w:tcPr>
            <w:tcW w:type="dxa" w:w="2480"/>
            <w:tcMar>
              <w:top w:w="95" w:type="dxa"/>
              <w:start w:w="112" w:type="dxa"/>
              <w:bottom w:w="95" w:type="dxa"/>
              <w:end w:w="112" w:type="dxa"/>
            </w:tcMar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16–18 px</w:t>
            </w:r>
          </w:p>
        </w:tc>
        <w:tc>
          <w:tcPr>
            <w:tcW w:type="dxa" w:w="2480"/>
            <w:tcMar>
              <w:top w:w="95" w:type="dxa"/>
              <w:start w:w="112" w:type="dxa"/>
              <w:bottom w:w="95" w:type="dxa"/>
              <w:end w:w="112" w:type="dxa"/>
            </w:tcMar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16 px</w:t>
            </w:r>
          </w:p>
        </w:tc>
        <w:tc>
          <w:tcPr>
            <w:tcW w:type="dxa" w:w="2480"/>
            <w:tcMar>
              <w:top w:w="95" w:type="dxa"/>
              <w:start w:w="112" w:type="dxa"/>
              <w:bottom w:w="95" w:type="dxa"/>
              <w:end w:w="112" w:type="dxa"/>
            </w:tcMar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Inter · 1.5–1.65</w:t>
            </w:r>
          </w:p>
        </w:tc>
      </w:tr>
      <w:tr>
        <w:tc>
          <w:tcPr>
            <w:tcW w:type="dxa" w:w="2480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/>
                <w:i w:val="0"/>
                <w:color w:val="24211E"/>
                <w:sz w:val="17"/>
              </w:rPr>
              <w:t>Legenda / auxiliar</w:t>
            </w:r>
          </w:p>
        </w:tc>
        <w:tc>
          <w:tcPr>
            <w:tcW w:type="dxa" w:w="2480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13–14 px</w:t>
            </w:r>
          </w:p>
        </w:tc>
        <w:tc>
          <w:tcPr>
            <w:tcW w:type="dxa" w:w="2480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13–14 px</w:t>
            </w:r>
          </w:p>
        </w:tc>
        <w:tc>
          <w:tcPr>
            <w:tcW w:type="dxa" w:w="2480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Inter · 1.4–1.5</w:t>
            </w:r>
          </w:p>
        </w:tc>
      </w:tr>
      <w:tr>
        <w:tc>
          <w:tcPr>
            <w:tcW w:type="dxa" w:w="2480"/>
            <w:tcMar>
              <w:top w:w="95" w:type="dxa"/>
              <w:start w:w="112" w:type="dxa"/>
              <w:bottom w:w="95" w:type="dxa"/>
              <w:end w:w="112" w:type="dxa"/>
            </w:tcMar>
          </w:tcPr>
          <w:p>
            <w:pPr>
              <w:spacing w:after="0" w:line="271" w:lineRule="auto"/>
            </w:pPr>
            <w:r>
              <w:rPr>
                <w:rFonts w:ascii="Inter" w:hAnsi="Inter"/>
                <w:b/>
                <w:i w:val="0"/>
                <w:color w:val="24211E"/>
                <w:sz w:val="17"/>
              </w:rPr>
              <w:t>Menu / botão</w:t>
            </w:r>
          </w:p>
        </w:tc>
        <w:tc>
          <w:tcPr>
            <w:tcW w:type="dxa" w:w="2480"/>
            <w:tcMar>
              <w:top w:w="95" w:type="dxa"/>
              <w:start w:w="112" w:type="dxa"/>
              <w:bottom w:w="95" w:type="dxa"/>
              <w:end w:w="112" w:type="dxa"/>
            </w:tcMar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13–15 px</w:t>
            </w:r>
          </w:p>
        </w:tc>
        <w:tc>
          <w:tcPr>
            <w:tcW w:type="dxa" w:w="2480"/>
            <w:tcMar>
              <w:top w:w="95" w:type="dxa"/>
              <w:start w:w="112" w:type="dxa"/>
              <w:bottom w:w="95" w:type="dxa"/>
              <w:end w:w="112" w:type="dxa"/>
            </w:tcMar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14–15 px</w:t>
            </w:r>
          </w:p>
        </w:tc>
        <w:tc>
          <w:tcPr>
            <w:tcW w:type="dxa" w:w="2480"/>
            <w:tcMar>
              <w:top w:w="95" w:type="dxa"/>
              <w:start w:w="112" w:type="dxa"/>
              <w:bottom w:w="95" w:type="dxa"/>
              <w:end w:w="112" w:type="dxa"/>
            </w:tcMar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Inter Medium · 1.2</w:t>
            </w:r>
          </w:p>
        </w:tc>
      </w:tr>
    </w:tbl>
    <w:p>
      <w:pPr>
        <w:spacing w:after="20"/>
      </w:pPr>
    </w:p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Regras editoriais</w:t>
      </w:r>
    </w:p>
    <w:p>
      <w:pPr>
        <w:pStyle w:val="ListBullet"/>
        <w:spacing w:after="60"/>
        <w:ind w:left="306"/>
      </w:pPr>
      <w:r>
        <w:rPr>
          <w:rFonts w:ascii="Inter" w:hAnsi="Inter"/>
          <w:b w:val="0"/>
          <w:i w:val="0"/>
          <w:color w:val="24211E"/>
          <w:sz w:val="19"/>
        </w:rPr>
        <w:t>Não escrever títulos inteiros em caixa alta por padrão; reservar maiúsculas para rótulos curtos.</w:t>
      </w:r>
    </w:p>
    <w:p>
      <w:pPr>
        <w:pStyle w:val="ListBullet"/>
        <w:spacing w:after="60"/>
        <w:ind w:left="306"/>
      </w:pPr>
      <w:r>
        <w:rPr>
          <w:rFonts w:ascii="Inter" w:hAnsi="Inter"/>
          <w:b w:val="0"/>
          <w:i w:val="0"/>
          <w:color w:val="24211E"/>
          <w:sz w:val="19"/>
        </w:rPr>
        <w:t>Nunca usar mais de duas famílias tipográficas numa mesma peça.</w:t>
      </w:r>
    </w:p>
    <w:p>
      <w:pPr>
        <w:pStyle w:val="ListBullet"/>
        <w:spacing w:after="60"/>
        <w:ind w:left="306"/>
      </w:pPr>
      <w:r>
        <w:rPr>
          <w:rFonts w:ascii="Inter" w:hAnsi="Inter"/>
          <w:b w:val="0"/>
          <w:i w:val="0"/>
          <w:color w:val="24211E"/>
          <w:sz w:val="19"/>
        </w:rPr>
        <w:t>Respeitar acentuação, pontuação e nomes jurídicos; não reduzir entrelinhas para “fazer caber”.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922"/>
            <w:shd w:fill="F2E9DA"/>
            <w:tcMar>
              <w:top w:w="145" w:type="dxa"/>
              <w:start w:w="190" w:type="dxa"/>
              <w:bottom w:w="145" w:type="dxa"/>
              <w:end w:w="19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24211E"/>
                <w:sz w:val="18"/>
              </w:rPr>
              <w:t>As fontes propostas formam um sistema tipográfico de aplicação. Elas não pretendem identificar ou substituir a fonte exata usada no desenho do logotipo.</w:t>
            </w:r>
          </w:p>
        </w:tc>
      </w:tr>
    </w:tbl>
    <w:p>
      <w:r>
        <w:br w:type="page"/>
      </w:r>
    </w:p>
    <w:p>
      <w:pPr>
        <w:spacing w:before="200" w:after="140"/>
      </w:pPr>
      <w:r>
        <w:rPr>
          <w:rFonts w:ascii="Inter" w:hAnsi="Inter"/>
          <w:b/>
          <w:i w:val="0"/>
          <w:color w:val="8B683B"/>
          <w:sz w:val="17"/>
          <w:spacing w:val="19"/>
        </w:rPr>
        <w:t>05 / REGRAS DE USO</w:t>
      </w:r>
    </w:p>
    <w:p>
      <w:pPr>
        <w:pStyle w:val="Heading1"/>
        <w:spacing w:after="80"/>
      </w:pPr>
      <w:r>
        <w:rPr>
          <w:rFonts w:ascii="EB Garamond" w:hAnsi="EB Garamond"/>
          <w:b w:val="0"/>
          <w:i w:val="0"/>
          <w:color w:val="0F0F0E"/>
          <w:sz w:val="58"/>
        </w:rPr>
        <w:t>Integridade e legibilidade</w:t>
      </w:r>
    </w:p>
    <w:p>
      <w:pPr>
        <w:spacing w:after="280" w:line="286" w:lineRule="auto"/>
      </w:pPr>
      <w:r>
        <w:rPr>
          <w:rFonts w:ascii="Inter" w:hAnsi="Inter"/>
          <w:b w:val="0"/>
          <w:i w:val="0"/>
          <w:color w:val="6E6B66"/>
          <w:sz w:val="20"/>
        </w:rPr>
        <w:t>Uma marca forte depende mais da repetição correta de seus elementos do que de efeitos adicionais.</w:t>
      </w:r>
    </w:p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Área de proteção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2559205"/>
            <wp:docPr id="7" name="Picture 7" descr="Esquema de área de proteção com margem x ao redor da assinatur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fe_are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59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86" w:lineRule="auto"/>
      </w:pPr>
      <w:r>
        <w:rPr>
          <w:rFonts w:ascii="Inter" w:hAnsi="Inter"/>
          <w:b w:val="0"/>
          <w:i w:val="0"/>
          <w:color w:val="24211E"/>
          <w:sz w:val="18"/>
        </w:rPr>
        <w:t>Definir x como 1/8 da altura total do símbolo. Manter, no mínimo, x livre ao redor da marca ou do símbolo, sem textos, fotografias ou bordas invadindo a área protegida.</w:t>
      </w:r>
    </w:p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Tamanho mínimo recomendado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shd w:fill="0F0F0E"/>
            <w:tcMar>
              <w:top w:w="96" w:type="dxa"/>
              <w:start w:w="112" w:type="dxa"/>
              <w:bottom w:w="96" w:type="dxa"/>
              <w:end w:w="112" w:type="dxa"/>
            </w:tcMar>
          </w:tcPr>
          <w:p>
            <w:r>
              <w:rPr>
                <w:rFonts w:ascii="Inter" w:hAnsi="Inter"/>
                <w:b/>
                <w:i w:val="0"/>
                <w:color w:val="F7F3EB"/>
                <w:sz w:val="17"/>
              </w:rPr>
              <w:t>VERSÃO</w:t>
            </w:r>
          </w:p>
        </w:tc>
        <w:tc>
          <w:tcPr>
            <w:tcW w:type="dxa" w:w="3307"/>
            <w:shd w:fill="0F0F0E"/>
            <w:tcMar>
              <w:top w:w="96" w:type="dxa"/>
              <w:start w:w="112" w:type="dxa"/>
              <w:bottom w:w="96" w:type="dxa"/>
              <w:end w:w="112" w:type="dxa"/>
            </w:tcMar>
          </w:tcPr>
          <w:p>
            <w:r>
              <w:rPr>
                <w:rFonts w:ascii="Inter" w:hAnsi="Inter"/>
                <w:b/>
                <w:i w:val="0"/>
                <w:color w:val="F7F3EB"/>
                <w:sz w:val="17"/>
              </w:rPr>
              <w:t>TELA</w:t>
            </w:r>
          </w:p>
        </w:tc>
        <w:tc>
          <w:tcPr>
            <w:tcW w:type="dxa" w:w="3307"/>
            <w:shd w:fill="0F0F0E"/>
            <w:tcMar>
              <w:top w:w="96" w:type="dxa"/>
              <w:start w:w="112" w:type="dxa"/>
              <w:bottom w:w="96" w:type="dxa"/>
              <w:end w:w="112" w:type="dxa"/>
            </w:tcMar>
          </w:tcPr>
          <w:p>
            <w:r>
              <w:rPr>
                <w:rFonts w:ascii="Inter" w:hAnsi="Inter"/>
                <w:b/>
                <w:i w:val="0"/>
                <w:color w:val="F7F3EB"/>
                <w:sz w:val="17"/>
              </w:rPr>
              <w:t>IMPRESSÃO</w:t>
            </w:r>
          </w:p>
        </w:tc>
      </w:tr>
      <w:tr>
        <w:tc>
          <w:tcPr>
            <w:tcW w:type="dxa" w:w="3307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/>
                <w:i w:val="0"/>
                <w:color w:val="24211E"/>
                <w:sz w:val="18"/>
              </w:rPr>
              <w:t>Assinatura completa</w:t>
            </w:r>
          </w:p>
        </w:tc>
        <w:tc>
          <w:tcPr>
            <w:tcW w:type="dxa" w:w="3307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8"/>
              </w:rPr>
              <w:t>≥ 260 px de largura</w:t>
            </w:r>
          </w:p>
        </w:tc>
        <w:tc>
          <w:tcPr>
            <w:tcW w:type="dxa" w:w="3307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8"/>
              </w:rPr>
              <w:t>≥ 45 mm de largura</w:t>
            </w:r>
          </w:p>
        </w:tc>
      </w:tr>
      <w:tr>
        <w:tc>
          <w:tcPr>
            <w:tcW w:type="dxa" w:w="3307"/>
            <w:tcMar>
              <w:top w:w="95" w:type="dxa"/>
              <w:start w:w="112" w:type="dxa"/>
              <w:bottom w:w="95" w:type="dxa"/>
              <w:end w:w="112" w:type="dxa"/>
            </w:tcMar>
          </w:tcPr>
          <w:p>
            <w:pPr>
              <w:spacing w:after="0" w:line="271" w:lineRule="auto"/>
            </w:pPr>
            <w:r>
              <w:rPr>
                <w:rFonts w:ascii="Inter" w:hAnsi="Inter"/>
                <w:b/>
                <w:i w:val="0"/>
                <w:color w:val="24211E"/>
                <w:sz w:val="18"/>
              </w:rPr>
              <w:t>Símbolo detalhado</w:t>
            </w:r>
          </w:p>
        </w:tc>
        <w:tc>
          <w:tcPr>
            <w:tcW w:type="dxa" w:w="3307"/>
            <w:tcMar>
              <w:top w:w="95" w:type="dxa"/>
              <w:start w:w="112" w:type="dxa"/>
              <w:bottom w:w="95" w:type="dxa"/>
              <w:end w:w="112" w:type="dxa"/>
            </w:tcMar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8"/>
              </w:rPr>
              <w:t>≥ 64 px de altura</w:t>
            </w:r>
          </w:p>
        </w:tc>
        <w:tc>
          <w:tcPr>
            <w:tcW w:type="dxa" w:w="3307"/>
            <w:tcMar>
              <w:top w:w="95" w:type="dxa"/>
              <w:start w:w="112" w:type="dxa"/>
              <w:bottom w:w="95" w:type="dxa"/>
              <w:end w:w="112" w:type="dxa"/>
            </w:tcMar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8"/>
              </w:rPr>
              <w:t>≥ 15 mm de altura</w:t>
            </w:r>
          </w:p>
        </w:tc>
      </w:tr>
      <w:tr>
        <w:tc>
          <w:tcPr>
            <w:tcW w:type="dxa" w:w="3307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/>
                <w:i w:val="0"/>
                <w:color w:val="24211E"/>
                <w:sz w:val="18"/>
              </w:rPr>
              <w:t>Ícone muito pequeno</w:t>
            </w:r>
          </w:p>
        </w:tc>
        <w:tc>
          <w:tcPr>
            <w:tcW w:type="dxa" w:w="3307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8"/>
              </w:rPr>
              <w:t>16–48 px: versão reduzida própria</w:t>
            </w:r>
          </w:p>
        </w:tc>
        <w:tc>
          <w:tcPr>
            <w:tcW w:type="dxa" w:w="3307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8"/>
              </w:rPr>
              <w:t>Evitar detalhes metálicos</w:t>
            </w:r>
          </w:p>
        </w:tc>
      </w:tr>
    </w:tbl>
    <w:p>
      <w:pPr>
        <w:spacing w:after="20"/>
      </w:pPr>
    </w:p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Não fazer</w:t>
      </w:r>
    </w:p>
    <w:p>
      <w:pPr>
        <w:pStyle w:val="ListBullet"/>
        <w:spacing w:after="60"/>
        <w:ind w:left="306"/>
      </w:pPr>
      <w:r>
        <w:rPr>
          <w:rFonts w:ascii="Inter" w:hAnsi="Inter"/>
          <w:b w:val="0"/>
          <w:i w:val="0"/>
          <w:color w:val="24211E"/>
          <w:sz w:val="19"/>
        </w:rPr>
        <w:t>Esticar, comprimir, inclinar, rotacionar ou mudar a proporção da marca.</w:t>
      </w:r>
    </w:p>
    <w:p>
      <w:pPr>
        <w:pStyle w:val="ListBullet"/>
        <w:spacing w:after="60"/>
        <w:ind w:left="306"/>
      </w:pPr>
      <w:r>
        <w:rPr>
          <w:rFonts w:ascii="Inter" w:hAnsi="Inter"/>
          <w:b w:val="0"/>
          <w:i w:val="0"/>
          <w:color w:val="24211E"/>
          <w:sz w:val="19"/>
        </w:rPr>
        <w:t>Aplicar efeitos de neon, sombras pesadas, contornos externos ou novos gradientes.</w:t>
      </w:r>
    </w:p>
    <w:p>
      <w:pPr>
        <w:pStyle w:val="ListBullet"/>
        <w:spacing w:after="60"/>
        <w:ind w:left="306"/>
      </w:pPr>
      <w:r>
        <w:rPr>
          <w:rFonts w:ascii="Inter" w:hAnsi="Inter"/>
          <w:b w:val="0"/>
          <w:i w:val="0"/>
          <w:color w:val="24211E"/>
          <w:sz w:val="19"/>
        </w:rPr>
        <w:t>Trocar as cores por vermelho, azul, verde ou dourado fluorescente.</w:t>
      </w:r>
    </w:p>
    <w:p>
      <w:pPr>
        <w:pStyle w:val="ListBullet"/>
        <w:spacing w:after="60"/>
        <w:ind w:left="306"/>
      </w:pPr>
      <w:r>
        <w:rPr>
          <w:rFonts w:ascii="Inter" w:hAnsi="Inter"/>
          <w:b w:val="0"/>
          <w:i w:val="0"/>
          <w:color w:val="24211E"/>
          <w:sz w:val="19"/>
        </w:rPr>
        <w:t>Sobrepor a marca a imagens complexas ou fundos sem contraste suficiente.</w:t>
      </w:r>
    </w:p>
    <w:p>
      <w:pPr>
        <w:pStyle w:val="ListBullet"/>
        <w:spacing w:after="60"/>
        <w:ind w:left="306"/>
      </w:pPr>
      <w:r>
        <w:rPr>
          <w:rFonts w:ascii="Inter" w:hAnsi="Inter"/>
          <w:b w:val="0"/>
          <w:i w:val="0"/>
          <w:color w:val="24211E"/>
          <w:sz w:val="19"/>
        </w:rPr>
        <w:t>Alterar o monograma, redesenhar a espada ou remover os louros por conveniência.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922"/>
            <w:shd w:fill="F2E9DA"/>
            <w:tcMar>
              <w:top w:w="145" w:type="dxa"/>
              <w:start w:w="190" w:type="dxa"/>
              <w:bottom w:w="145" w:type="dxa"/>
              <w:end w:w="19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24211E"/>
                <w:sz w:val="18"/>
              </w:rPr>
              <w:t>Para miniaturas e favicons, a versão simplificada deverá ser produzida a partir da marca original e validada antes de entrar em uso. O PNG metálico atual não é um ícone vetorial simplificado.</w:t>
            </w:r>
          </w:p>
        </w:tc>
      </w:tr>
    </w:tbl>
    <w:p>
      <w:r>
        <w:br w:type="page"/>
      </w:r>
    </w:p>
    <w:p>
      <w:pPr>
        <w:spacing w:before="200" w:after="140"/>
      </w:pPr>
      <w:r>
        <w:rPr>
          <w:rFonts w:ascii="Inter" w:hAnsi="Inter"/>
          <w:b/>
          <w:i w:val="0"/>
          <w:color w:val="8B683B"/>
          <w:sz w:val="17"/>
          <w:spacing w:val="19"/>
        </w:rPr>
        <w:t>06 / INTERFACES DIGITAIS</w:t>
      </w:r>
    </w:p>
    <w:p>
      <w:pPr>
        <w:pStyle w:val="Heading1"/>
        <w:spacing w:after="80"/>
      </w:pPr>
      <w:r>
        <w:rPr>
          <w:rFonts w:ascii="EB Garamond" w:hAnsi="EB Garamond"/>
          <w:b w:val="0"/>
          <w:i w:val="0"/>
          <w:color w:val="0F0F0E"/>
          <w:sz w:val="58"/>
        </w:rPr>
        <w:t>Aplicação em sites e sistemas</w:t>
      </w:r>
    </w:p>
    <w:p>
      <w:pPr>
        <w:spacing w:after="280" w:line="286" w:lineRule="auto"/>
      </w:pPr>
      <w:r>
        <w:rPr>
          <w:rFonts w:ascii="Inter" w:hAnsi="Inter"/>
          <w:b w:val="0"/>
          <w:i w:val="0"/>
          <w:color w:val="6E6B66"/>
          <w:sz w:val="20"/>
        </w:rPr>
        <w:t>Páginas digitais devem reunir sobriedade visual com acessibilidade: hierarquia nítida, navegação simples e áreas de respiro generosas.</w:t>
      </w:r>
    </w:p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Direção visual de site institucional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72200" cy="3005942"/>
            <wp:docPr id="8" name="Picture 8" descr="Exemplo de primeira dobra de site com cabeçalho escuro, título editorial e botão dour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ock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05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86" w:lineRule="auto"/>
      </w:pPr>
      <w:r>
        <w:rPr>
          <w:rFonts w:ascii="Inter" w:hAnsi="Inter"/>
          <w:b w:val="0"/>
          <w:i w:val="0"/>
          <w:color w:val="6E6B66"/>
          <w:sz w:val="17"/>
        </w:rPr>
        <w:t>Referência conceitual de hero: cabeçalho escuro, assinatura discreta, título editorial, CTA objetivo e grafismo institucional de baixa intensidade.</w:t>
      </w:r>
    </w:p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Padrões de interface</w:t>
      </w:r>
    </w:p>
    <w:p>
      <w:pPr>
        <w:spacing w:after="120" w:line="286" w:lineRule="auto"/>
      </w:pPr>
      <w:r>
        <w:rPr>
          <w:rFonts w:ascii="Inter" w:hAnsi="Inter"/>
          <w:b/>
          <w:i w:val="0"/>
          <w:color w:val="24211E"/>
          <w:sz w:val="19"/>
        </w:rPr>
        <w:t xml:space="preserve">Layout  /  </w:t>
      </w:r>
      <w:r>
        <w:rPr>
          <w:rFonts w:ascii="Inter" w:hAnsi="Inter"/>
          <w:b w:val="0"/>
          <w:i w:val="0"/>
          <w:color w:val="24211E"/>
          <w:sz w:val="19"/>
        </w:rPr>
        <w:t>Largura máxima de conteúdo: 1.120–1.240 px; grids de 12 colunas no desktop; margens laterais de 20–24 px no mobile.</w:t>
      </w:r>
    </w:p>
    <w:p>
      <w:pPr>
        <w:spacing w:after="120" w:line="286" w:lineRule="auto"/>
      </w:pPr>
      <w:r>
        <w:rPr>
          <w:rFonts w:ascii="Inter" w:hAnsi="Inter"/>
          <w:b/>
          <w:i w:val="0"/>
          <w:color w:val="24211E"/>
          <w:sz w:val="19"/>
        </w:rPr>
        <w:t xml:space="preserve">Botões  /  </w:t>
      </w:r>
      <w:r>
        <w:rPr>
          <w:rFonts w:ascii="Inter" w:hAnsi="Inter"/>
          <w:b w:val="0"/>
          <w:i w:val="0"/>
          <w:color w:val="24211E"/>
          <w:sz w:val="19"/>
        </w:rPr>
        <w:t>Primário sólido dourado com texto quase preto; secundário apenas com contorno dourado sobre fundo escuro. Altura mínima sugerida: 44 px.</w:t>
      </w:r>
    </w:p>
    <w:p>
      <w:pPr>
        <w:spacing w:after="120" w:line="286" w:lineRule="auto"/>
      </w:pPr>
      <w:r>
        <w:rPr>
          <w:rFonts w:ascii="Inter" w:hAnsi="Inter"/>
          <w:b/>
          <w:i w:val="0"/>
          <w:color w:val="24211E"/>
          <w:sz w:val="19"/>
        </w:rPr>
        <w:t xml:space="preserve">Espaçamento  /  </w:t>
      </w:r>
      <w:r>
        <w:rPr>
          <w:rFonts w:ascii="Inter" w:hAnsi="Inter"/>
          <w:b w:val="0"/>
          <w:i w:val="0"/>
          <w:color w:val="24211E"/>
          <w:sz w:val="19"/>
        </w:rPr>
        <w:t>Escala base em múltiplos de 8 px: 8, 16, 24, 32, 48, 64, 96. Preferir mais respiro entre seções.</w:t>
      </w:r>
    </w:p>
    <w:p>
      <w:pPr>
        <w:spacing w:after="120" w:line="286" w:lineRule="auto"/>
      </w:pPr>
      <w:r>
        <w:rPr>
          <w:rFonts w:ascii="Inter" w:hAnsi="Inter"/>
          <w:b/>
          <w:i w:val="0"/>
          <w:color w:val="24211E"/>
          <w:sz w:val="19"/>
        </w:rPr>
        <w:t xml:space="preserve">Cards  /  </w:t>
      </w:r>
      <w:r>
        <w:rPr>
          <w:rFonts w:ascii="Inter" w:hAnsi="Inter"/>
          <w:b w:val="0"/>
          <w:i w:val="0"/>
          <w:color w:val="24211E"/>
          <w:sz w:val="19"/>
        </w:rPr>
        <w:t>Contorno fino, raios discretos (4–8 px), pouco ou nenhum sombreado. Evitar “glassmorphism” e brilho excessivo.</w:t>
      </w:r>
    </w:p>
    <w:p>
      <w:pPr>
        <w:spacing w:after="120" w:line="286" w:lineRule="auto"/>
      </w:pPr>
      <w:r>
        <w:rPr>
          <w:rFonts w:ascii="Inter" w:hAnsi="Inter"/>
          <w:b/>
          <w:i w:val="0"/>
          <w:color w:val="24211E"/>
          <w:sz w:val="19"/>
        </w:rPr>
        <w:t xml:space="preserve">Contraste  /  </w:t>
      </w:r>
      <w:r>
        <w:rPr>
          <w:rFonts w:ascii="Inter" w:hAnsi="Inter"/>
          <w:b w:val="0"/>
          <w:i w:val="0"/>
          <w:color w:val="24211E"/>
          <w:sz w:val="19"/>
        </w:rPr>
        <w:t>Texto principal marfim sobre preto ou grafite sobre marfim; testar componentes e estados de foco/hover.</w:t>
      </w:r>
    </w:p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Experiência responsiva</w:t>
      </w:r>
    </w:p>
    <w:p>
      <w:pPr>
        <w:spacing w:after="100" w:line="286" w:lineRule="auto"/>
      </w:pPr>
      <w:r>
        <w:rPr>
          <w:rFonts w:ascii="Inter" w:hAnsi="Inter"/>
          <w:b w:val="0"/>
          <w:i w:val="0"/>
          <w:color w:val="24211E"/>
          <w:sz w:val="18"/>
        </w:rPr>
        <w:t>A marca completa pode ser reduzida ou reorganizada no mobile, mas nunca truncada. Quando não houver espaço para o nome legível, usar o símbolo isolado e identificar o escritório por texto adjacente acessível.</w:t>
      </w:r>
    </w:p>
    <w:p>
      <w:r>
        <w:br w:type="page"/>
      </w:r>
    </w:p>
    <w:p>
      <w:pPr>
        <w:spacing w:before="200" w:after="140"/>
      </w:pPr>
      <w:r>
        <w:rPr>
          <w:rFonts w:ascii="Inter" w:hAnsi="Inter"/>
          <w:b/>
          <w:i w:val="0"/>
          <w:color w:val="8B683B"/>
          <w:sz w:val="17"/>
          <w:spacing w:val="19"/>
        </w:rPr>
        <w:t>07 / REDES SOCIAIS</w:t>
      </w:r>
    </w:p>
    <w:p>
      <w:pPr>
        <w:pStyle w:val="Heading1"/>
        <w:spacing w:after="80"/>
      </w:pPr>
      <w:r>
        <w:rPr>
          <w:rFonts w:ascii="EB Garamond" w:hAnsi="EB Garamond"/>
          <w:b w:val="0"/>
          <w:i w:val="0"/>
          <w:color w:val="0F0F0E"/>
          <w:sz w:val="58"/>
        </w:rPr>
        <w:t>Peças digitais consistentes</w:t>
      </w:r>
    </w:p>
    <w:p>
      <w:pPr>
        <w:spacing w:after="280" w:line="286" w:lineRule="auto"/>
      </w:pPr>
      <w:r>
        <w:rPr>
          <w:rFonts w:ascii="Inter" w:hAnsi="Inter"/>
          <w:b w:val="0"/>
          <w:i w:val="0"/>
          <w:color w:val="6E6B66"/>
          <w:sz w:val="20"/>
        </w:rPr>
        <w:t>O objetivo das peças é informar e reforçar reconhecimento, não competir pelo máximo de estímulo visual.</w:t>
      </w:r>
    </w:p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Direção para posts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172200" cy="3012033"/>
            <wp:docPr id="9" name="Picture 9" descr="Dois exemplos de posts com versão escura e versão clara da identidad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al_mocku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12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86" w:lineRule="auto"/>
      </w:pPr>
      <w:r>
        <w:rPr>
          <w:rFonts w:ascii="Inter" w:hAnsi="Inter"/>
          <w:b w:val="0"/>
          <w:i w:val="0"/>
          <w:color w:val="6E6B66"/>
          <w:sz w:val="17"/>
        </w:rPr>
        <w:t>Dois exemplos de composição: institucional escura e informativa clara. O símbolo aparece de forma discreta e os títulos são tratados como informação, não como promessa de resultado.</w:t>
      </w:r>
    </w:p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Formatos de exportação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shd w:fill="0F0F0E"/>
            <w:tcMar>
              <w:top w:w="96" w:type="dxa"/>
              <w:start w:w="112" w:type="dxa"/>
              <w:bottom w:w="96" w:type="dxa"/>
              <w:end w:w="112" w:type="dxa"/>
            </w:tcMar>
          </w:tcPr>
          <w:p>
            <w:r>
              <w:rPr>
                <w:rFonts w:ascii="Inter" w:hAnsi="Inter"/>
                <w:b/>
                <w:i w:val="0"/>
                <w:color w:val="F7F3EB"/>
                <w:sz w:val="17"/>
              </w:rPr>
              <w:t>CANAL / PEÇA</w:t>
            </w:r>
          </w:p>
        </w:tc>
        <w:tc>
          <w:tcPr>
            <w:tcW w:type="dxa" w:w="3307"/>
            <w:shd w:fill="0F0F0E"/>
            <w:tcMar>
              <w:top w:w="96" w:type="dxa"/>
              <w:start w:w="112" w:type="dxa"/>
              <w:bottom w:w="96" w:type="dxa"/>
              <w:end w:w="112" w:type="dxa"/>
            </w:tcMar>
          </w:tcPr>
          <w:p>
            <w:r>
              <w:rPr>
                <w:rFonts w:ascii="Inter" w:hAnsi="Inter"/>
                <w:b/>
                <w:i w:val="0"/>
                <w:color w:val="F7F3EB"/>
                <w:sz w:val="17"/>
              </w:rPr>
              <w:t>DIMENSÃO BASE</w:t>
            </w:r>
          </w:p>
        </w:tc>
        <w:tc>
          <w:tcPr>
            <w:tcW w:type="dxa" w:w="3307"/>
            <w:shd w:fill="0F0F0E"/>
            <w:tcMar>
              <w:top w:w="96" w:type="dxa"/>
              <w:start w:w="112" w:type="dxa"/>
              <w:bottom w:w="96" w:type="dxa"/>
              <w:end w:w="112" w:type="dxa"/>
            </w:tcMar>
          </w:tcPr>
          <w:p>
            <w:r>
              <w:rPr>
                <w:rFonts w:ascii="Inter" w:hAnsi="Inter"/>
                <w:b/>
                <w:i w:val="0"/>
                <w:color w:val="F7F3EB"/>
                <w:sz w:val="17"/>
              </w:rPr>
              <w:t>ORIENTAÇÃO</w:t>
            </w:r>
          </w:p>
        </w:tc>
      </w:tr>
      <w:tr>
        <w:tc>
          <w:tcPr>
            <w:tcW w:type="dxa" w:w="3307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/>
                <w:i w:val="0"/>
                <w:color w:val="24211E"/>
                <w:sz w:val="17"/>
              </w:rPr>
              <w:t>Instagram feed retrato</w:t>
            </w:r>
          </w:p>
        </w:tc>
        <w:tc>
          <w:tcPr>
            <w:tcW w:type="dxa" w:w="3307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1080 × 1350 px</w:t>
            </w:r>
          </w:p>
        </w:tc>
        <w:tc>
          <w:tcPr>
            <w:tcW w:type="dxa" w:w="3307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Preferencial para conteúdo editorial</w:t>
            </w:r>
          </w:p>
        </w:tc>
      </w:tr>
      <w:tr>
        <w:tc>
          <w:tcPr>
            <w:tcW w:type="dxa" w:w="3307"/>
            <w:tcMar>
              <w:top w:w="95" w:type="dxa"/>
              <w:start w:w="112" w:type="dxa"/>
              <w:bottom w:w="95" w:type="dxa"/>
              <w:end w:w="112" w:type="dxa"/>
            </w:tcMar>
          </w:tcPr>
          <w:p>
            <w:pPr>
              <w:spacing w:after="0" w:line="271" w:lineRule="auto"/>
            </w:pPr>
            <w:r>
              <w:rPr>
                <w:rFonts w:ascii="Inter" w:hAnsi="Inter"/>
                <w:b/>
                <w:i w:val="0"/>
                <w:color w:val="24211E"/>
                <w:sz w:val="17"/>
              </w:rPr>
              <w:t>Instagram / Facebook quadrado</w:t>
            </w:r>
          </w:p>
        </w:tc>
        <w:tc>
          <w:tcPr>
            <w:tcW w:type="dxa" w:w="3307"/>
            <w:tcMar>
              <w:top w:w="95" w:type="dxa"/>
              <w:start w:w="112" w:type="dxa"/>
              <w:bottom w:w="95" w:type="dxa"/>
              <w:end w:w="112" w:type="dxa"/>
            </w:tcMar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1080 × 1080 px</w:t>
            </w:r>
          </w:p>
        </w:tc>
        <w:tc>
          <w:tcPr>
            <w:tcW w:type="dxa" w:w="3307"/>
            <w:tcMar>
              <w:top w:w="95" w:type="dxa"/>
              <w:start w:w="112" w:type="dxa"/>
              <w:bottom w:w="95" w:type="dxa"/>
              <w:end w:w="112" w:type="dxa"/>
            </w:tcMar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Conteúdo resumido e institucional</w:t>
            </w:r>
          </w:p>
        </w:tc>
      </w:tr>
      <w:tr>
        <w:tc>
          <w:tcPr>
            <w:tcW w:type="dxa" w:w="3307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/>
                <w:i w:val="0"/>
                <w:color w:val="24211E"/>
                <w:sz w:val="17"/>
              </w:rPr>
              <w:t>Stories / Reels (arte)</w:t>
            </w:r>
          </w:p>
        </w:tc>
        <w:tc>
          <w:tcPr>
            <w:tcW w:type="dxa" w:w="3307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1080 × 1920 px</w:t>
            </w:r>
          </w:p>
        </w:tc>
        <w:tc>
          <w:tcPr>
            <w:tcW w:type="dxa" w:w="3307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Proteger zonas superiores e inferiores</w:t>
            </w:r>
          </w:p>
        </w:tc>
      </w:tr>
      <w:tr>
        <w:tc>
          <w:tcPr>
            <w:tcW w:type="dxa" w:w="3307"/>
            <w:tcMar>
              <w:top w:w="95" w:type="dxa"/>
              <w:start w:w="112" w:type="dxa"/>
              <w:bottom w:w="95" w:type="dxa"/>
              <w:end w:w="112" w:type="dxa"/>
            </w:tcMar>
          </w:tcPr>
          <w:p>
            <w:pPr>
              <w:spacing w:after="0" w:line="271" w:lineRule="auto"/>
            </w:pPr>
            <w:r>
              <w:rPr>
                <w:rFonts w:ascii="Inter" w:hAnsi="Inter"/>
                <w:b/>
                <w:i w:val="0"/>
                <w:color w:val="24211E"/>
                <w:sz w:val="17"/>
              </w:rPr>
              <w:t>LinkedIn horizontal</w:t>
            </w:r>
          </w:p>
        </w:tc>
        <w:tc>
          <w:tcPr>
            <w:tcW w:type="dxa" w:w="3307"/>
            <w:tcMar>
              <w:top w:w="95" w:type="dxa"/>
              <w:start w:w="112" w:type="dxa"/>
              <w:bottom w:w="95" w:type="dxa"/>
              <w:end w:w="112" w:type="dxa"/>
            </w:tcMar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1200 × 627 px</w:t>
            </w:r>
          </w:p>
        </w:tc>
        <w:tc>
          <w:tcPr>
            <w:tcW w:type="dxa" w:w="3307"/>
            <w:tcMar>
              <w:top w:w="95" w:type="dxa"/>
              <w:start w:w="112" w:type="dxa"/>
              <w:bottom w:w="95" w:type="dxa"/>
              <w:end w:w="112" w:type="dxa"/>
            </w:tcMar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Artigos e publicações institucionais</w:t>
            </w:r>
          </w:p>
        </w:tc>
      </w:tr>
      <w:tr>
        <w:tc>
          <w:tcPr>
            <w:tcW w:type="dxa" w:w="3307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/>
                <w:i w:val="0"/>
                <w:color w:val="24211E"/>
                <w:sz w:val="17"/>
              </w:rPr>
              <w:t>Prévia de link / Open Graph</w:t>
            </w:r>
          </w:p>
        </w:tc>
        <w:tc>
          <w:tcPr>
            <w:tcW w:type="dxa" w:w="3307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1200 × 630 px</w:t>
            </w:r>
          </w:p>
        </w:tc>
        <w:tc>
          <w:tcPr>
            <w:tcW w:type="dxa" w:w="3307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Título curto + assinatura bem legível</w:t>
            </w:r>
          </w:p>
        </w:tc>
      </w:tr>
    </w:tbl>
    <w:p>
      <w:pPr>
        <w:spacing w:after="20"/>
      </w:pPr>
    </w:p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Estrutura visual sugerida</w:t>
      </w:r>
    </w:p>
    <w:p>
      <w:pPr>
        <w:pStyle w:val="ListBullet"/>
        <w:spacing w:after="60"/>
        <w:ind w:left="306"/>
      </w:pPr>
      <w:r>
        <w:rPr>
          <w:rFonts w:ascii="Inter" w:hAnsi="Inter"/>
          <w:b w:val="0"/>
          <w:i w:val="0"/>
          <w:color w:val="24211E"/>
          <w:sz w:val="19"/>
        </w:rPr>
        <w:t>Uma única mensagem principal por peça, com título de leitura imediata.</w:t>
      </w:r>
    </w:p>
    <w:p>
      <w:pPr>
        <w:pStyle w:val="ListBullet"/>
        <w:spacing w:after="60"/>
        <w:ind w:left="306"/>
      </w:pPr>
      <w:r>
        <w:rPr>
          <w:rFonts w:ascii="Inter" w:hAnsi="Inter"/>
          <w:b w:val="0"/>
          <w:i w:val="0"/>
          <w:color w:val="24211E"/>
          <w:sz w:val="19"/>
        </w:rPr>
        <w:t>Não usar mais de um destaque dourado dominante em um mesmo quadro.</w:t>
      </w:r>
    </w:p>
    <w:p>
      <w:pPr>
        <w:pStyle w:val="ListBullet"/>
        <w:spacing w:after="60"/>
        <w:ind w:left="306"/>
      </w:pPr>
      <w:r>
        <w:rPr>
          <w:rFonts w:ascii="Inter" w:hAnsi="Inter"/>
          <w:b w:val="0"/>
          <w:i w:val="0"/>
          <w:color w:val="24211E"/>
          <w:sz w:val="19"/>
        </w:rPr>
        <w:t>Manter assinatura consistente e reservar rodapé para categoria, fonte ou contexto.</w:t>
      </w:r>
    </w:p>
    <w:p>
      <w:pPr>
        <w:pStyle w:val="ListBullet"/>
        <w:spacing w:after="60"/>
        <w:ind w:left="306"/>
      </w:pPr>
      <w:r>
        <w:rPr>
          <w:rFonts w:ascii="Inter" w:hAnsi="Inter"/>
          <w:b w:val="0"/>
          <w:i w:val="0"/>
          <w:color w:val="24211E"/>
          <w:sz w:val="19"/>
        </w:rPr>
        <w:t>Privilegiar linguagem objetiva e neutra, com dados verificáveis.</w:t>
      </w:r>
    </w:p>
    <w:p>
      <w:r>
        <w:br w:type="page"/>
      </w:r>
    </w:p>
    <w:p>
      <w:pPr>
        <w:spacing w:before="200" w:after="140"/>
      </w:pPr>
      <w:r>
        <w:rPr>
          <w:rFonts w:ascii="Inter" w:hAnsi="Inter"/>
          <w:b/>
          <w:i w:val="0"/>
          <w:color w:val="8B683B"/>
          <w:sz w:val="17"/>
          <w:spacing w:val="19"/>
        </w:rPr>
        <w:t>08 / DIREÇÃO DE ARTE</w:t>
      </w:r>
    </w:p>
    <w:p>
      <w:pPr>
        <w:pStyle w:val="Heading1"/>
        <w:spacing w:after="80"/>
      </w:pPr>
      <w:r>
        <w:rPr>
          <w:rFonts w:ascii="EB Garamond" w:hAnsi="EB Garamond"/>
          <w:b w:val="0"/>
          <w:i w:val="0"/>
          <w:color w:val="0F0F0E"/>
          <w:sz w:val="58"/>
        </w:rPr>
        <w:t>Fotografia, textura e composição</w:t>
      </w:r>
    </w:p>
    <w:p>
      <w:pPr>
        <w:spacing w:after="280" w:line="286" w:lineRule="auto"/>
      </w:pPr>
      <w:r>
        <w:rPr>
          <w:rFonts w:ascii="Inter" w:hAnsi="Inter"/>
          <w:b w:val="0"/>
          <w:i w:val="0"/>
          <w:color w:val="6E6B66"/>
          <w:sz w:val="20"/>
        </w:rPr>
        <w:t>Elementos complementares devem reforçar ambiente institucional real, sem roubar protagonismo do conteúdo.</w:t>
      </w:r>
    </w:p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Fotografia recomendada</w:t>
      </w:r>
    </w:p>
    <w:p>
      <w:pPr>
        <w:spacing w:after="180" w:line="286" w:lineRule="auto"/>
      </w:pPr>
      <w:r>
        <w:rPr>
          <w:rFonts w:ascii="Inter" w:hAnsi="Inter"/>
          <w:b/>
          <w:i w:val="0"/>
          <w:color w:val="24211E"/>
          <w:sz w:val="19"/>
        </w:rPr>
        <w:t xml:space="preserve">Ambiente  /  </w:t>
      </w:r>
      <w:r>
        <w:rPr>
          <w:rFonts w:ascii="Inter" w:hAnsi="Inter"/>
          <w:b w:val="0"/>
          <w:i w:val="0"/>
          <w:color w:val="24211E"/>
          <w:sz w:val="19"/>
        </w:rPr>
        <w:t>Fotografias reais do escritório, detalhes arquitetônicos, salas bem iluminadas e elementos de trabalho autênticos.</w:t>
      </w:r>
    </w:p>
    <w:p>
      <w:pPr>
        <w:spacing w:after="180" w:line="286" w:lineRule="auto"/>
      </w:pPr>
      <w:r>
        <w:rPr>
          <w:rFonts w:ascii="Inter" w:hAnsi="Inter"/>
          <w:b/>
          <w:i w:val="0"/>
          <w:color w:val="24211E"/>
          <w:sz w:val="19"/>
        </w:rPr>
        <w:t xml:space="preserve">Retratos  /  </w:t>
      </w:r>
      <w:r>
        <w:rPr>
          <w:rFonts w:ascii="Inter" w:hAnsi="Inter"/>
          <w:b w:val="0"/>
          <w:i w:val="0"/>
          <w:color w:val="24211E"/>
          <w:sz w:val="19"/>
        </w:rPr>
        <w:t>Retratos profissionais com luz natural/controlada, fundo neutro e expressão confiante, sem poses artificiais.</w:t>
      </w:r>
    </w:p>
    <w:p>
      <w:pPr>
        <w:spacing w:after="180" w:line="286" w:lineRule="auto"/>
      </w:pPr>
      <w:r>
        <w:rPr>
          <w:rFonts w:ascii="Inter" w:hAnsi="Inter"/>
          <w:b/>
          <w:i w:val="0"/>
          <w:color w:val="24211E"/>
          <w:sz w:val="19"/>
        </w:rPr>
        <w:t xml:space="preserve">Tratamento  /  </w:t>
      </w:r>
      <w:r>
        <w:rPr>
          <w:rFonts w:ascii="Inter" w:hAnsi="Inter"/>
          <w:b w:val="0"/>
          <w:i w:val="0"/>
          <w:color w:val="24211E"/>
          <w:sz w:val="19"/>
        </w:rPr>
        <w:t>Contraste moderado, temperatura levemente quente, saturação contida, sombras suaves.</w:t>
      </w:r>
    </w:p>
    <w:p>
      <w:pPr>
        <w:spacing w:after="180" w:line="286" w:lineRule="auto"/>
      </w:pPr>
      <w:r>
        <w:rPr>
          <w:rFonts w:ascii="Inter" w:hAnsi="Inter"/>
          <w:b/>
          <w:i w:val="0"/>
          <w:color w:val="24211E"/>
          <w:sz w:val="19"/>
        </w:rPr>
        <w:t xml:space="preserve">Uso editorial  /  </w:t>
      </w:r>
      <w:r>
        <w:rPr>
          <w:rFonts w:ascii="Inter" w:hAnsi="Inter"/>
          <w:b w:val="0"/>
          <w:i w:val="0"/>
          <w:color w:val="24211E"/>
          <w:sz w:val="19"/>
        </w:rPr>
        <w:t>Cortes amplos, espaços negativos para texto e luz uniforme. Evitar filtros dramáticos ou genéricos.</w:t>
      </w:r>
    </w:p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Elementos gráficos permitidos</w:t>
      </w:r>
    </w:p>
    <w:p>
      <w:pPr>
        <w:pStyle w:val="ListBullet"/>
        <w:spacing w:after="60"/>
        <w:ind w:left="306"/>
      </w:pPr>
      <w:r>
        <w:rPr>
          <w:rFonts w:ascii="Inter" w:hAnsi="Inter"/>
          <w:b w:val="0"/>
          <w:i w:val="0"/>
          <w:color w:val="24211E"/>
          <w:sz w:val="19"/>
        </w:rPr>
        <w:t>Linhas finas douradas ou bronze para divisórias e detalhes de hierarquia.</w:t>
      </w:r>
    </w:p>
    <w:p>
      <w:pPr>
        <w:pStyle w:val="ListBullet"/>
        <w:spacing w:after="60"/>
        <w:ind w:left="306"/>
      </w:pPr>
      <w:r>
        <w:rPr>
          <w:rFonts w:ascii="Inter" w:hAnsi="Inter"/>
          <w:b w:val="0"/>
          <w:i w:val="0"/>
          <w:color w:val="24211E"/>
          <w:sz w:val="19"/>
        </w:rPr>
        <w:t>Molduras simples e blocos com fundo marfim, preto ou grafite.</w:t>
      </w:r>
    </w:p>
    <w:p>
      <w:pPr>
        <w:pStyle w:val="ListBullet"/>
        <w:spacing w:after="60"/>
        <w:ind w:left="306"/>
      </w:pPr>
      <w:r>
        <w:rPr>
          <w:rFonts w:ascii="Inter" w:hAnsi="Inter"/>
          <w:b w:val="0"/>
          <w:i w:val="0"/>
          <w:color w:val="24211E"/>
          <w:sz w:val="19"/>
        </w:rPr>
        <w:t>Monograma como marca-d’água de baixa opacidade (3–10%) quando não prejudicar a leitura.</w:t>
      </w:r>
    </w:p>
    <w:p>
      <w:pPr>
        <w:pStyle w:val="ListBullet"/>
        <w:spacing w:after="60"/>
        <w:ind w:left="306"/>
      </w:pPr>
      <w:r>
        <w:rPr>
          <w:rFonts w:ascii="Inter" w:hAnsi="Inter"/>
          <w:b w:val="0"/>
          <w:i w:val="0"/>
          <w:color w:val="24211E"/>
          <w:sz w:val="19"/>
        </w:rPr>
        <w:t>Texturas sutis de papel, mármore ou metal apenas em materiais de alto impacto e com moderação.</w:t>
      </w:r>
    </w:p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Evitar</w:t>
      </w:r>
    </w:p>
    <w:p>
      <w:pPr>
        <w:spacing w:after="220" w:line="286" w:lineRule="auto"/>
      </w:pPr>
      <w:r>
        <w:rPr>
          <w:rFonts w:ascii="Inter" w:hAnsi="Inter"/>
          <w:b w:val="0"/>
          <w:i w:val="0"/>
          <w:color w:val="24211E"/>
          <w:sz w:val="18"/>
        </w:rPr>
        <w:t>Martelos de juiz genéricos, colagens de estátuas sem pertinência, imagens excessivamente escuras, símbolos oficiais de tribunais/OAB usados como adorno, stock photos artificiais e clichês visuais de “justiça”.</w:t>
      </w:r>
    </w:p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Tom verbal nas peças</w:t>
      </w:r>
    </w:p>
    <w:p>
      <w:pPr>
        <w:spacing w:after="160" w:line="286" w:lineRule="auto"/>
      </w:pPr>
      <w:r>
        <w:rPr>
          <w:rFonts w:ascii="Inter" w:hAnsi="Inter"/>
          <w:b w:val="0"/>
          <w:i w:val="0"/>
          <w:color w:val="24211E"/>
          <w:sz w:val="18"/>
        </w:rPr>
        <w:t>Escrita precisa, acolhedora e responsável. Priorizar explicação de temas, apresentação do escritório, orientações informativas e identificação profissional. Evitar sensacionalismo, comparações depreciativas e promessas de êxito.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922"/>
            <w:shd w:fill="F2E9DA"/>
            <w:tcMar>
              <w:top w:w="145" w:type="dxa"/>
              <w:start w:w="190" w:type="dxa"/>
              <w:bottom w:w="145" w:type="dxa"/>
              <w:end w:w="19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24211E"/>
                <w:sz w:val="18"/>
              </w:rPr>
              <w:t>Publicidade jurídica: submeter peças e campanhas à revisão de conformidade com as normas aplicáveis da OAB. Referência inicial: Provimento 205/2021 (Conselho Federal da OAB) e orientações atualizadas do órgão; esta seção não substitui análise jurídico-ética.</w:t>
            </w:r>
          </w:p>
        </w:tc>
      </w:tr>
    </w:tbl>
    <w:p>
      <w:r>
        <w:br w:type="page"/>
      </w:r>
    </w:p>
    <w:p>
      <w:pPr>
        <w:spacing w:before="200" w:after="140"/>
      </w:pPr>
      <w:r>
        <w:rPr>
          <w:rFonts w:ascii="Inter" w:hAnsi="Inter"/>
          <w:b/>
          <w:i w:val="0"/>
          <w:color w:val="8B683B"/>
          <w:sz w:val="17"/>
          <w:spacing w:val="19"/>
        </w:rPr>
        <w:t>09 / ESPECIFICAÇÕES TÉCNICAS</w:t>
      </w:r>
    </w:p>
    <w:p>
      <w:pPr>
        <w:pStyle w:val="Heading1"/>
        <w:spacing w:after="80"/>
      </w:pPr>
      <w:r>
        <w:rPr>
          <w:rFonts w:ascii="EB Garamond" w:hAnsi="EB Garamond"/>
          <w:b w:val="0"/>
          <w:i w:val="0"/>
          <w:color w:val="0F0F0E"/>
          <w:sz w:val="58"/>
        </w:rPr>
        <w:t>Produção, arquivos e acessibilidade</w:t>
      </w:r>
    </w:p>
    <w:p>
      <w:pPr>
        <w:spacing w:after="280" w:line="286" w:lineRule="auto"/>
      </w:pPr>
      <w:r>
        <w:rPr>
          <w:rFonts w:ascii="Inter" w:hAnsi="Inter"/>
          <w:b w:val="0"/>
          <w:i w:val="0"/>
          <w:color w:val="6E6B66"/>
          <w:sz w:val="20"/>
        </w:rPr>
        <w:t>O sistema deve ser viável em canais digitais, documentos editáveis, apresentações, impressão e fornecedores externos.</w:t>
      </w:r>
    </w:p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Pacote mestre de marca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0F0F0E"/>
            <w:tcMar>
              <w:top w:w="96" w:type="dxa"/>
              <w:start w:w="112" w:type="dxa"/>
              <w:bottom w:w="96" w:type="dxa"/>
              <w:end w:w="112" w:type="dxa"/>
            </w:tcMar>
          </w:tcPr>
          <w:p>
            <w:r>
              <w:rPr>
                <w:rFonts w:ascii="Inter" w:hAnsi="Inter"/>
                <w:b/>
                <w:i w:val="0"/>
                <w:color w:val="F7F3EB"/>
                <w:sz w:val="17"/>
              </w:rPr>
              <w:t>ARQUIVO / FORMATO</w:t>
            </w:r>
          </w:p>
        </w:tc>
        <w:tc>
          <w:tcPr>
            <w:tcW w:type="dxa" w:w="4961"/>
            <w:shd w:fill="0F0F0E"/>
            <w:tcMar>
              <w:top w:w="96" w:type="dxa"/>
              <w:start w:w="112" w:type="dxa"/>
              <w:bottom w:w="96" w:type="dxa"/>
              <w:end w:w="112" w:type="dxa"/>
            </w:tcMar>
          </w:tcPr>
          <w:p>
            <w:r>
              <w:rPr>
                <w:rFonts w:ascii="Inter" w:hAnsi="Inter"/>
                <w:b/>
                <w:i w:val="0"/>
                <w:color w:val="F7F3EB"/>
                <w:sz w:val="17"/>
              </w:rPr>
              <w:t>USO CORRETO</w:t>
            </w:r>
          </w:p>
        </w:tc>
      </w:tr>
      <w:tr>
        <w:tc>
          <w:tcPr>
            <w:tcW w:type="dxa" w:w="4961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/>
                <w:i w:val="0"/>
                <w:color w:val="24211E"/>
                <w:sz w:val="17"/>
              </w:rPr>
              <w:t>logo-principal-dourado.png</w:t>
            </w:r>
          </w:p>
        </w:tc>
        <w:tc>
          <w:tcPr>
            <w:tcW w:type="dxa" w:w="4961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PNG com transparência para peças digitais escuras.</w:t>
            </w:r>
          </w:p>
        </w:tc>
      </w:tr>
      <w:tr>
        <w:tc>
          <w:tcPr>
            <w:tcW w:type="dxa" w:w="4961"/>
            <w:tcMar>
              <w:top w:w="95" w:type="dxa"/>
              <w:start w:w="112" w:type="dxa"/>
              <w:bottom w:w="95" w:type="dxa"/>
              <w:end w:w="112" w:type="dxa"/>
            </w:tcMar>
          </w:tcPr>
          <w:p>
            <w:pPr>
              <w:spacing w:after="0" w:line="271" w:lineRule="auto"/>
            </w:pPr>
            <w:r>
              <w:rPr>
                <w:rFonts w:ascii="Inter" w:hAnsi="Inter"/>
                <w:b/>
                <w:i w:val="0"/>
                <w:color w:val="24211E"/>
                <w:sz w:val="17"/>
              </w:rPr>
              <w:t>simbolo-dourado.png</w:t>
            </w:r>
          </w:p>
        </w:tc>
        <w:tc>
          <w:tcPr>
            <w:tcW w:type="dxa" w:w="4961"/>
            <w:tcMar>
              <w:top w:w="95" w:type="dxa"/>
              <w:start w:w="112" w:type="dxa"/>
              <w:bottom w:w="95" w:type="dxa"/>
              <w:end w:w="112" w:type="dxa"/>
            </w:tcMar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PNG transparente para avatares, capas, grafismos e aplicações maiores.</w:t>
            </w:r>
          </w:p>
        </w:tc>
      </w:tr>
      <w:tr>
        <w:tc>
          <w:tcPr>
            <w:tcW w:type="dxa" w:w="4961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/>
                <w:i w:val="0"/>
                <w:color w:val="24211E"/>
                <w:sz w:val="17"/>
              </w:rPr>
              <w:t>logo-monocromatica-clara.png</w:t>
            </w:r>
          </w:p>
        </w:tc>
        <w:tc>
          <w:tcPr>
            <w:tcW w:type="dxa" w:w="4961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Contraste estável em fundos escuros sem efeito metálico.</w:t>
            </w:r>
          </w:p>
        </w:tc>
      </w:tr>
      <w:tr>
        <w:tc>
          <w:tcPr>
            <w:tcW w:type="dxa" w:w="4961"/>
            <w:tcMar>
              <w:top w:w="95" w:type="dxa"/>
              <w:start w:w="112" w:type="dxa"/>
              <w:bottom w:w="95" w:type="dxa"/>
              <w:end w:w="112" w:type="dxa"/>
            </w:tcMar>
          </w:tcPr>
          <w:p>
            <w:pPr>
              <w:spacing w:after="0" w:line="271" w:lineRule="auto"/>
            </w:pPr>
            <w:r>
              <w:rPr>
                <w:rFonts w:ascii="Inter" w:hAnsi="Inter"/>
                <w:b/>
                <w:i w:val="0"/>
                <w:color w:val="24211E"/>
                <w:sz w:val="17"/>
              </w:rPr>
              <w:t>logo-monocromatica-escura.png</w:t>
            </w:r>
          </w:p>
        </w:tc>
        <w:tc>
          <w:tcPr>
            <w:tcW w:type="dxa" w:w="4961"/>
            <w:tcMar>
              <w:top w:w="95" w:type="dxa"/>
              <w:start w:w="112" w:type="dxa"/>
              <w:bottom w:w="95" w:type="dxa"/>
              <w:end w:w="112" w:type="dxa"/>
            </w:tcMar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Documentos claros e usos monocromáticos.</w:t>
            </w:r>
          </w:p>
        </w:tc>
      </w:tr>
      <w:tr>
        <w:tc>
          <w:tcPr>
            <w:tcW w:type="dxa" w:w="4961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/>
                <w:i w:val="0"/>
                <w:color w:val="24211E"/>
                <w:sz w:val="17"/>
              </w:rPr>
              <w:t>logo-vetor-aprovado.svg / .pdf</w:t>
            </w:r>
          </w:p>
        </w:tc>
        <w:tc>
          <w:tcPr>
            <w:tcW w:type="dxa" w:w="4961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Gerar mediante vetorização e revisão manual; necessário para escalabilidade real.</w:t>
            </w:r>
          </w:p>
        </w:tc>
      </w:tr>
    </w:tbl>
    <w:p>
      <w:pPr>
        <w:spacing w:after="20"/>
      </w:pPr>
    </w:p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Tokens CSS de referência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1EDE6"/>
            <w:tcMar>
              <w:top w:w="140" w:type="dxa"/>
              <w:start w:w="185" w:type="dxa"/>
              <w:bottom w:w="140" w:type="dxa"/>
              <w:end w:w="185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color w:val="24211E"/>
                <w:sz w:val="17"/>
              </w:rPr>
              <w:t>:root {</w:t>
              <w:br/>
              <w:t xml:space="preserve">  --hl-ink: #0F0F0E;</w:t>
              <w:br/>
              <w:t xml:space="preserve">  --hl-graphite: #24211E;</w:t>
              <w:br/>
              <w:t xml:space="preserve">  --hl-gold: #C7A46A;</w:t>
              <w:br/>
              <w:t xml:space="preserve">  --hl-gold-light: #E5C992;</w:t>
              <w:br/>
              <w:t xml:space="preserve">  --hl-bronze: #8B683B;</w:t>
              <w:br/>
              <w:t xml:space="preserve">  --hl-cream: #F7F3EB;</w:t>
              <w:br/>
              <w:t xml:space="preserve">  --hl-font-display: "EB Garamond", Georgia, serif;</w:t>
              <w:br/>
              <w:t xml:space="preserve">  --hl-font-body: "Inter", Arial, sans-serif;</w:t>
              <w:br/>
              <w:t>}</w:t>
            </w:r>
          </w:p>
        </w:tc>
      </w:tr>
    </w:tbl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Requisitos de qualidade</w:t>
      </w:r>
    </w:p>
    <w:p>
      <w:pPr>
        <w:pStyle w:val="ListBullet"/>
        <w:spacing w:after="60"/>
        <w:ind w:left="306"/>
      </w:pPr>
      <w:r>
        <w:rPr>
          <w:rFonts w:ascii="Inter" w:hAnsi="Inter"/>
          <w:b w:val="0"/>
          <w:i w:val="0"/>
          <w:color w:val="24211E"/>
          <w:sz w:val="19"/>
        </w:rPr>
        <w:t>PNG em alta resolução e transparência real; não exportar fundo preto acidentalmente.</w:t>
      </w:r>
    </w:p>
    <w:p>
      <w:pPr>
        <w:pStyle w:val="ListBullet"/>
        <w:spacing w:after="60"/>
        <w:ind w:left="306"/>
      </w:pPr>
      <w:r>
        <w:rPr>
          <w:rFonts w:ascii="Inter" w:hAnsi="Inter"/>
          <w:b w:val="0"/>
          <w:i w:val="0"/>
          <w:color w:val="24211E"/>
          <w:sz w:val="19"/>
        </w:rPr>
        <w:t>Revisar RGB/HEX para web e contraste WCAG nas partes funcionais da interface.</w:t>
      </w:r>
    </w:p>
    <w:p>
      <w:pPr>
        <w:pStyle w:val="ListBullet"/>
        <w:spacing w:after="60"/>
        <w:ind w:left="306"/>
      </w:pPr>
      <w:r>
        <w:rPr>
          <w:rFonts w:ascii="Inter" w:hAnsi="Inter"/>
          <w:b w:val="0"/>
          <w:i w:val="0"/>
          <w:color w:val="24211E"/>
          <w:sz w:val="19"/>
        </w:rPr>
        <w:t>Não ampliar PNG além da resolução útil; para impressão grande, vetorizar antes.</w:t>
      </w:r>
    </w:p>
    <w:p>
      <w:pPr>
        <w:pStyle w:val="ListBullet"/>
        <w:spacing w:after="60"/>
        <w:ind w:left="306"/>
      </w:pPr>
      <w:r>
        <w:rPr>
          <w:rFonts w:ascii="Inter" w:hAnsi="Inter"/>
          <w:b w:val="0"/>
          <w:i w:val="0"/>
          <w:color w:val="24211E"/>
          <w:sz w:val="19"/>
        </w:rPr>
        <w:t>Aplicar textos alternativos e rótulos acessíveis; a marca não deve ser o único identificador da navegação.</w:t>
      </w:r>
    </w:p>
    <w:p>
      <w:r>
        <w:br w:type="page"/>
      </w:r>
    </w:p>
    <w:p>
      <w:pPr>
        <w:spacing w:before="200" w:after="140"/>
      </w:pPr>
      <w:r>
        <w:rPr>
          <w:rFonts w:ascii="Inter" w:hAnsi="Inter"/>
          <w:b/>
          <w:i w:val="0"/>
          <w:color w:val="8B683B"/>
          <w:sz w:val="17"/>
          <w:spacing w:val="19"/>
        </w:rPr>
        <w:t>10 / GOVERNANÇA</w:t>
      </w:r>
    </w:p>
    <w:p>
      <w:pPr>
        <w:pStyle w:val="Heading1"/>
        <w:spacing w:after="80"/>
      </w:pPr>
      <w:r>
        <w:rPr>
          <w:rFonts w:ascii="EB Garamond" w:hAnsi="EB Garamond"/>
          <w:b w:val="0"/>
          <w:i w:val="0"/>
          <w:color w:val="0F0F0E"/>
          <w:sz w:val="58"/>
        </w:rPr>
        <w:t>Checklist antes de publicar</w:t>
      </w:r>
    </w:p>
    <w:p>
      <w:pPr>
        <w:spacing w:after="280" w:line="286" w:lineRule="auto"/>
      </w:pPr>
      <w:r>
        <w:rPr>
          <w:rFonts w:ascii="Inter" w:hAnsi="Inter"/>
          <w:b w:val="0"/>
          <w:i w:val="0"/>
          <w:color w:val="6E6B66"/>
          <w:sz w:val="20"/>
        </w:rPr>
        <w:t>Qualquer equipe ou fornecedor pode utilizar este manual como base de decisão e aprovação.</w:t>
      </w:r>
    </w:p>
    <w:p>
      <w:pPr>
        <w:spacing w:after="160"/>
      </w:pPr>
      <w:r>
        <w:rPr>
          <w:rFonts w:ascii="DejaVu Sans" w:hAnsi="DejaVu Sans"/>
          <w:b w:val="0"/>
          <w:i w:val="0"/>
          <w:color w:val="8B683B"/>
          <w:sz w:val="20"/>
        </w:rPr>
        <w:t xml:space="preserve">☐  </w:t>
      </w:r>
      <w:r>
        <w:rPr>
          <w:rFonts w:ascii="Inter" w:hAnsi="Inter"/>
          <w:b w:val="0"/>
          <w:i w:val="0"/>
          <w:color w:val="24211E"/>
          <w:sz w:val="19"/>
        </w:rPr>
        <w:t>O arquivo de logo utilizado é uma versão aprovada e não foi redesenhado?</w:t>
      </w:r>
    </w:p>
    <w:p>
      <w:pPr>
        <w:spacing w:after="160"/>
      </w:pPr>
      <w:r>
        <w:rPr>
          <w:rFonts w:ascii="DejaVu Sans" w:hAnsi="DejaVu Sans"/>
          <w:b w:val="0"/>
          <w:i w:val="0"/>
          <w:color w:val="8B683B"/>
          <w:sz w:val="20"/>
        </w:rPr>
        <w:t xml:space="preserve">☐  </w:t>
      </w:r>
      <w:r>
        <w:rPr>
          <w:rFonts w:ascii="Inter" w:hAnsi="Inter"/>
          <w:b w:val="0"/>
          <w:i w:val="0"/>
          <w:color w:val="24211E"/>
          <w:sz w:val="19"/>
        </w:rPr>
        <w:t>O símbolo mantém escudo, espada, monograma HL e louros?</w:t>
      </w:r>
    </w:p>
    <w:p>
      <w:pPr>
        <w:spacing w:after="160"/>
      </w:pPr>
      <w:r>
        <w:rPr>
          <w:rFonts w:ascii="DejaVu Sans" w:hAnsi="DejaVu Sans"/>
          <w:b w:val="0"/>
          <w:i w:val="0"/>
          <w:color w:val="8B683B"/>
          <w:sz w:val="20"/>
        </w:rPr>
        <w:t xml:space="preserve">☐  </w:t>
      </w:r>
      <w:r>
        <w:rPr>
          <w:rFonts w:ascii="Inter" w:hAnsi="Inter"/>
          <w:b w:val="0"/>
          <w:i w:val="0"/>
          <w:color w:val="24211E"/>
          <w:sz w:val="19"/>
        </w:rPr>
        <w:t>As cores usadas são as do sistema e respeitam o contraste do fundo?</w:t>
      </w:r>
    </w:p>
    <w:p>
      <w:pPr>
        <w:spacing w:after="160"/>
      </w:pPr>
      <w:r>
        <w:rPr>
          <w:rFonts w:ascii="DejaVu Sans" w:hAnsi="DejaVu Sans"/>
          <w:b w:val="0"/>
          <w:i w:val="0"/>
          <w:color w:val="8B683B"/>
          <w:sz w:val="20"/>
        </w:rPr>
        <w:t xml:space="preserve">☐  </w:t>
      </w:r>
      <w:r>
        <w:rPr>
          <w:rFonts w:ascii="Inter" w:hAnsi="Inter"/>
          <w:b w:val="0"/>
          <w:i w:val="0"/>
          <w:color w:val="24211E"/>
          <w:sz w:val="19"/>
        </w:rPr>
        <w:t>As fontes EB Garamond e Inter foram usadas nas áreas corretas?</w:t>
      </w:r>
    </w:p>
    <w:p>
      <w:pPr>
        <w:spacing w:after="160"/>
      </w:pPr>
      <w:r>
        <w:rPr>
          <w:rFonts w:ascii="DejaVu Sans" w:hAnsi="DejaVu Sans"/>
          <w:b w:val="0"/>
          <w:i w:val="0"/>
          <w:color w:val="8B683B"/>
          <w:sz w:val="20"/>
        </w:rPr>
        <w:t xml:space="preserve">☐  </w:t>
      </w:r>
      <w:r>
        <w:rPr>
          <w:rFonts w:ascii="Inter" w:hAnsi="Inter"/>
          <w:b w:val="0"/>
          <w:i w:val="0"/>
          <w:color w:val="24211E"/>
          <w:sz w:val="19"/>
        </w:rPr>
        <w:t>Há espaço livre adequado e tamanho suficiente para leitura?</w:t>
      </w:r>
    </w:p>
    <w:p>
      <w:pPr>
        <w:spacing w:after="160"/>
      </w:pPr>
      <w:r>
        <w:rPr>
          <w:rFonts w:ascii="DejaVu Sans" w:hAnsi="DejaVu Sans"/>
          <w:b w:val="0"/>
          <w:i w:val="0"/>
          <w:color w:val="8B683B"/>
          <w:sz w:val="20"/>
        </w:rPr>
        <w:t xml:space="preserve">☐  </w:t>
      </w:r>
      <w:r>
        <w:rPr>
          <w:rFonts w:ascii="Inter" w:hAnsi="Inter"/>
          <w:b w:val="0"/>
          <w:i w:val="0"/>
          <w:color w:val="24211E"/>
          <w:sz w:val="19"/>
        </w:rPr>
        <w:t>Fotografias e textos mantêm tom sóbrio, verdadeiro e institucional?</w:t>
      </w:r>
    </w:p>
    <w:p>
      <w:pPr>
        <w:spacing w:after="160"/>
      </w:pPr>
      <w:r>
        <w:rPr>
          <w:rFonts w:ascii="DejaVu Sans" w:hAnsi="DejaVu Sans"/>
          <w:b w:val="0"/>
          <w:i w:val="0"/>
          <w:color w:val="8B683B"/>
          <w:sz w:val="20"/>
        </w:rPr>
        <w:t xml:space="preserve">☐  </w:t>
      </w:r>
      <w:r>
        <w:rPr>
          <w:rFonts w:ascii="Inter" w:hAnsi="Inter"/>
          <w:b w:val="0"/>
          <w:i w:val="0"/>
          <w:color w:val="24211E"/>
          <w:sz w:val="19"/>
        </w:rPr>
        <w:t>A peça foi revisada em desktop e mobile ou no tamanho físico final?</w:t>
      </w:r>
    </w:p>
    <w:p>
      <w:pPr>
        <w:spacing w:after="160"/>
      </w:pPr>
      <w:r>
        <w:rPr>
          <w:rFonts w:ascii="DejaVu Sans" w:hAnsi="DejaVu Sans"/>
          <w:b w:val="0"/>
          <w:i w:val="0"/>
          <w:color w:val="8B683B"/>
          <w:sz w:val="20"/>
        </w:rPr>
        <w:t xml:space="preserve">☐  </w:t>
      </w:r>
      <w:r>
        <w:rPr>
          <w:rFonts w:ascii="Inter" w:hAnsi="Inter"/>
          <w:b w:val="0"/>
          <w:i w:val="0"/>
          <w:color w:val="24211E"/>
          <w:sz w:val="19"/>
        </w:rPr>
        <w:t>A exportação está correta (PNG/SVG/WebP/PDF, RGB/CMYK conforme canal)?</w:t>
      </w:r>
    </w:p>
    <w:p>
      <w:pPr>
        <w:spacing w:after="160"/>
      </w:pPr>
      <w:r>
        <w:rPr>
          <w:rFonts w:ascii="DejaVu Sans" w:hAnsi="DejaVu Sans"/>
          <w:b w:val="0"/>
          <w:i w:val="0"/>
          <w:color w:val="8B683B"/>
          <w:sz w:val="20"/>
        </w:rPr>
        <w:t xml:space="preserve">☐  </w:t>
      </w:r>
      <w:r>
        <w:rPr>
          <w:rFonts w:ascii="Inter" w:hAnsi="Inter"/>
          <w:b w:val="0"/>
          <w:i w:val="0"/>
          <w:color w:val="24211E"/>
          <w:sz w:val="19"/>
        </w:rPr>
        <w:t>Os conteúdos publicitários foram validados quanto às regras éticas da advocacia?</w:t>
      </w:r>
    </w:p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Controle de versão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shd w:fill="0F0F0E"/>
            <w:tcMar>
              <w:top w:w="96" w:type="dxa"/>
              <w:start w:w="112" w:type="dxa"/>
              <w:bottom w:w="96" w:type="dxa"/>
              <w:end w:w="112" w:type="dxa"/>
            </w:tcMar>
          </w:tcPr>
          <w:p>
            <w:r>
              <w:rPr>
                <w:rFonts w:ascii="Inter" w:hAnsi="Inter"/>
                <w:b/>
                <w:i w:val="0"/>
                <w:color w:val="F7F3EB"/>
                <w:sz w:val="17"/>
              </w:rPr>
              <w:t>EDIÇÃO</w:t>
            </w:r>
          </w:p>
        </w:tc>
        <w:tc>
          <w:tcPr>
            <w:tcW w:type="dxa" w:w="3307"/>
            <w:shd w:fill="0F0F0E"/>
            <w:tcMar>
              <w:top w:w="96" w:type="dxa"/>
              <w:start w:w="112" w:type="dxa"/>
              <w:bottom w:w="96" w:type="dxa"/>
              <w:end w:w="112" w:type="dxa"/>
            </w:tcMar>
          </w:tcPr>
          <w:p>
            <w:r>
              <w:rPr>
                <w:rFonts w:ascii="Inter" w:hAnsi="Inter"/>
                <w:b/>
                <w:i w:val="0"/>
                <w:color w:val="F7F3EB"/>
                <w:sz w:val="17"/>
              </w:rPr>
              <w:t>DATA</w:t>
            </w:r>
          </w:p>
        </w:tc>
        <w:tc>
          <w:tcPr>
            <w:tcW w:type="dxa" w:w="3307"/>
            <w:shd w:fill="0F0F0E"/>
            <w:tcMar>
              <w:top w:w="96" w:type="dxa"/>
              <w:start w:w="112" w:type="dxa"/>
              <w:bottom w:w="96" w:type="dxa"/>
              <w:end w:w="112" w:type="dxa"/>
            </w:tcMar>
          </w:tcPr>
          <w:p>
            <w:r>
              <w:rPr>
                <w:rFonts w:ascii="Inter" w:hAnsi="Inter"/>
                <w:b/>
                <w:i w:val="0"/>
                <w:color w:val="F7F3EB"/>
                <w:sz w:val="17"/>
              </w:rPr>
              <w:t>STATUS</w:t>
            </w:r>
          </w:p>
        </w:tc>
      </w:tr>
      <w:tr>
        <w:tc>
          <w:tcPr>
            <w:tcW w:type="dxa" w:w="3307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/>
                <w:i w:val="0"/>
                <w:color w:val="24211E"/>
                <w:sz w:val="17"/>
              </w:rPr>
              <w:t>1.0</w:t>
            </w:r>
          </w:p>
        </w:tc>
        <w:tc>
          <w:tcPr>
            <w:tcW w:type="dxa" w:w="3307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22/10/2026</w:t>
            </w:r>
          </w:p>
        </w:tc>
        <w:tc>
          <w:tcPr>
            <w:tcW w:type="dxa" w:w="3307"/>
            <w:tcMar>
              <w:top w:w="95" w:type="dxa"/>
              <w:start w:w="112" w:type="dxa"/>
              <w:bottom w:w="95" w:type="dxa"/>
              <w:end w:w="112" w:type="dxa"/>
            </w:tcMar>
            <w:shd w:fill="F8F5F0"/>
          </w:tcPr>
          <w:p>
            <w:pPr>
              <w:spacing w:after="0" w:line="271" w:lineRule="auto"/>
            </w:pPr>
            <w:r>
              <w:rPr>
                <w:rFonts w:ascii="Inter" w:hAnsi="Inter"/>
                <w:b w:val="0"/>
                <w:i w:val="0"/>
                <w:color w:val="24211E"/>
                <w:sz w:val="17"/>
              </w:rPr>
              <w:t>Sistema inicial de diretrizes de marca</w:t>
            </w:r>
          </w:p>
        </w:tc>
      </w:tr>
    </w:tbl>
    <w:p>
      <w:pPr>
        <w:spacing w:after="20"/>
      </w:pPr>
    </w:p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Pendências para a fase definitiva</w:t>
      </w:r>
    </w:p>
    <w:p>
      <w:pPr>
        <w:spacing w:after="160" w:line="286" w:lineRule="auto"/>
      </w:pPr>
      <w:r>
        <w:rPr>
          <w:rFonts w:ascii="Inter" w:hAnsi="Inter"/>
          <w:b w:val="0"/>
          <w:i w:val="0"/>
          <w:color w:val="24211E"/>
          <w:sz w:val="18"/>
        </w:rPr>
        <w:t>1. Validar a paleta com o responsável pela marca. 2. Converter símbolo e lettering em curvas vetoriais fiéis. 3. Aprovar versão simplificada de favicon, proporções e testes de reprodução. 4. Definir arquivos-mestres oficiais e política de distribuição.</w:t>
      </w:r>
    </w:p>
    <w:p>
      <w:pPr>
        <w:pStyle w:val="Heading2"/>
        <w:spacing w:before="300" w:after="120"/>
      </w:pPr>
      <w:r>
        <w:rPr>
          <w:rFonts w:ascii="EB Garamond" w:hAnsi="EB Garamond"/>
          <w:b w:val="0"/>
          <w:i w:val="0"/>
          <w:color w:val="0F0F0E"/>
          <w:sz w:val="36"/>
        </w:rPr>
        <w:t>Fontes e referências</w:t>
      </w:r>
    </w:p>
    <w:p>
      <w:pPr>
        <w:spacing w:after="200" w:line="286" w:lineRule="auto"/>
      </w:pPr>
      <w:r>
        <w:rPr>
          <w:rFonts w:ascii="Inter" w:hAnsi="Inter"/>
          <w:b w:val="0"/>
          <w:i w:val="0"/>
          <w:color w:val="6E6B66"/>
          <w:sz w:val="16"/>
        </w:rPr>
        <w:t>Identidade visual: logotipos de referência fornecidos no projeto. Tipografia recomendada: EB Garamond e Inter. Orientação de publicidade: Provimento nº 205/2021 do Conselho Federal da OAB, disponível em www.oab.org.br/leisnormas/legislacao/provimentos/205-2021 (consultado em outubro de 2026).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922"/>
            <w:shd w:fill="0F0F0E"/>
            <w:tcMar>
              <w:top w:w="145" w:type="dxa"/>
              <w:start w:w="190" w:type="dxa"/>
              <w:bottom w:w="145" w:type="dxa"/>
              <w:end w:w="19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F7F3EB"/>
                <w:sz w:val="18"/>
              </w:rPr>
              <w:t>Este manual define uma proposta operacional de uso da identidade atual. Após validação formal do escritório e da vetorização, passa a servir de referência final para terceiros, designer, desenvolvimento e fornecedores.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992" w:bottom="896" w:left="992" w:header="425" w:footer="42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Inter" w:hAnsi="Inter"/>
        <w:b w:val="0"/>
        <w:i w:val="0"/>
        <w:color w:val="6E6B66"/>
        <w:sz w:val="14"/>
      </w:rPr>
      <w:t xml:space="preserve">USO INSTITUCIONAL  •  OUT/2026      </w:t>
    </w:r>
    <w:r>
      <w:rPr>
        <w:rFonts w:ascii="Inter" w:hAnsi="Inter"/>
        <w:b/>
        <w:i w:val="0"/>
        <w:color w:val="8B683B"/>
        <w:sz w:val="14"/>
      </w:rPr>
      <w:t xml:space="preserve">PÁG.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184"/>
      <w:gridCol w:w="4680"/>
    </w:tblGrid>
    <w:tr>
      <w:tc>
        <w:tcPr>
          <w:tcW w:type="dxa" w:w="4939"/>
        </w:tcPr>
        <w:p>
          <w:r>
            <w:rPr>
              <w:rFonts w:ascii="Inter" w:hAnsi="Inter"/>
              <w:b/>
              <w:i w:val="0"/>
              <w:color w:val="8B683B"/>
              <w:sz w:val="15"/>
            </w:rPr>
            <w:t>HL  /  HAROLDO LOBO ADVOGADOS</w:t>
          </w:r>
        </w:p>
      </w:tc>
      <w:tc>
        <w:tcPr>
          <w:tcW w:type="dxa" w:w="4939"/>
        </w:tcPr>
        <w:p>
          <w:pPr>
            <w:jc w:val="right"/>
          </w:pPr>
          <w:r>
            <w:rPr>
              <w:rFonts w:ascii="Inter" w:hAnsi="Inter"/>
              <w:b/>
              <w:i w:val="0"/>
              <w:color w:val="6E6B66"/>
              <w:sz w:val="15"/>
            </w:rPr>
            <w:t>MANUAL DE IDENTIDADE  •  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Inter" w:hAnsi="Inter"/>
      <w:color w:val="24211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EB Garamond" w:hAnsi="EB Garamond"/>
      <w:b w:val="0"/>
      <w:bCs/>
      <w:color w:val="0F0F0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EB Garamond" w:hAnsi="EB Garamond"/>
      <w:b w:val="0"/>
      <w:bCs/>
      <w:color w:val="0F0F0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Haroldo Lobo Advogados — Manual de Identidade Visual</dc:title>
  <dc:subject>Diretrizes de identidade visual e aplicações</dc:subject>
  <dc:creator>Identidade visual • Documento de referência</dc:creator>
  <cp:keywords>brand guidelines; Haroldo Lobo Advogados; identidade visual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