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7B3FB5" w14:textId="2AAF7383" w:rsidR="00E676A4" w:rsidRDefault="00775413">
      <w:pPr>
        <w:rPr>
          <w:b/>
          <w:bCs/>
        </w:rPr>
      </w:pPr>
      <w:r>
        <w:rPr>
          <w:b/>
          <w:bCs/>
        </w:rPr>
        <w:t>TIROCINIO II</w:t>
      </w:r>
      <w:r w:rsidR="00E676A4">
        <w:rPr>
          <w:b/>
          <w:bCs/>
        </w:rPr>
        <w:t>, ALESSIA MARIA MARICA (</w:t>
      </w:r>
      <w:r w:rsidR="003B62CC">
        <w:rPr>
          <w:b/>
          <w:bCs/>
        </w:rPr>
        <w:t>2067540)</w:t>
      </w:r>
    </w:p>
    <w:p w14:paraId="7C9E96BF" w14:textId="04FFE142" w:rsidR="00775413" w:rsidRPr="00775413" w:rsidRDefault="003B62CC">
      <w:pPr>
        <w:rPr>
          <w:b/>
          <w:bCs/>
        </w:rPr>
      </w:pPr>
      <w:r>
        <w:rPr>
          <w:b/>
          <w:bCs/>
        </w:rPr>
        <w:t>COGNIZIONE 4E:</w:t>
      </w:r>
      <w:r w:rsidR="00094570">
        <w:rPr>
          <w:b/>
          <w:bCs/>
        </w:rPr>
        <w:t xml:space="preserve"> SUPERARE IL DOGMA DELL’ARMONIA. </w:t>
      </w:r>
    </w:p>
    <w:p w14:paraId="085561E4" w14:textId="2AE3735E" w:rsidR="00AF2841" w:rsidRDefault="00184D87">
      <w:r>
        <w:t xml:space="preserve">La filosofia della mente occidentale, </w:t>
      </w:r>
      <w:r w:rsidR="000D2F63">
        <w:t>cartesiana nel profondo delle sue radici</w:t>
      </w:r>
      <w:r>
        <w:t xml:space="preserve">, è </w:t>
      </w:r>
      <w:r w:rsidR="000D2F63">
        <w:t>dominata,</w:t>
      </w:r>
      <w:r>
        <w:t xml:space="preserve"> negli anni ’50</w:t>
      </w:r>
      <w:r w:rsidR="000D2F63">
        <w:t>,</w:t>
      </w:r>
      <w:r>
        <w:t xml:space="preserve"> da quello che viene definito cognitivismo classico: la mente umana viene </w:t>
      </w:r>
      <w:r w:rsidR="002855EE">
        <w:t>studiata</w:t>
      </w:r>
      <w:r>
        <w:t xml:space="preserve"> </w:t>
      </w:r>
      <w:r w:rsidR="002855EE">
        <w:t>e concepita come</w:t>
      </w:r>
      <w:r>
        <w:t xml:space="preserve"> un sistema</w:t>
      </w:r>
      <w:r w:rsidR="002855EE">
        <w:t xml:space="preserve"> computazionale</w:t>
      </w:r>
      <w:r>
        <w:t xml:space="preserve"> di elaborazione d</w:t>
      </w:r>
      <w:r w:rsidR="002855EE">
        <w:t>i</w:t>
      </w:r>
      <w:r>
        <w:t xml:space="preserve"> informazioni</w:t>
      </w:r>
      <w:r w:rsidR="002855EE">
        <w:t xml:space="preserve"> basato su rappresentazioni simboliche, il cui miglior modello è la macchina universale di Turing </w:t>
      </w:r>
      <w:r w:rsidR="00AF2841">
        <w:rPr>
          <w:rStyle w:val="Rimandonotaapidipagina"/>
        </w:rPr>
        <w:footnoteReference w:id="1"/>
      </w:r>
      <w:r w:rsidR="00D37F65">
        <w:t>.</w:t>
      </w:r>
    </w:p>
    <w:p w14:paraId="5814838A" w14:textId="3D62E2FF" w:rsidR="00D37F65" w:rsidRDefault="00D37F65">
      <w:r>
        <w:t xml:space="preserve">Questa </w:t>
      </w:r>
      <w:r w:rsidR="00A644EA">
        <w:t>concezione</w:t>
      </w:r>
      <w:r>
        <w:t xml:space="preserve"> ha trascurato l’importanza del corpo e dell’ambiente circostante, </w:t>
      </w:r>
      <w:r w:rsidR="00A644EA">
        <w:t>tanto da essere descritta metaforicamente da un modello sandwich</w:t>
      </w:r>
      <w:r w:rsidR="007605C9">
        <w:rPr>
          <w:rStyle w:val="Rimandonotaapidipagina"/>
        </w:rPr>
        <w:footnoteReference w:id="2"/>
      </w:r>
      <w:r w:rsidR="00A644EA">
        <w:t>: come in un sandwich è più importante e sostanziosa la carne tra le due fette di pane, allo stesso modo la mente</w:t>
      </w:r>
      <w:r w:rsidR="00565AD0">
        <w:t xml:space="preserve"> è la parte fondamentale alla base dei processi cognitivi, che si trova tra, ma è separata da, l’input (percezione) e l’output (azione, comando).</w:t>
      </w:r>
    </w:p>
    <w:p w14:paraId="76E0A46B" w14:textId="786C929F" w:rsidR="007605C9" w:rsidRDefault="00C50658">
      <w:r>
        <w:t>È proprio questa l’idea “più pericolosa per un filosofo”: l’idea che “noi pensiamo con</w:t>
      </w:r>
      <w:r w:rsidR="00A978A6">
        <w:t>,</w:t>
      </w:r>
      <w:r>
        <w:t xml:space="preserve"> o nelle nostre teste</w:t>
      </w:r>
      <w:r w:rsidR="00864DCA">
        <w:t>. L’idea del pensare come a un processo nella testa, in uno spazio completamente chiuso, gli conferisce un qualcosa di occulto”</w:t>
      </w:r>
      <w:r w:rsidR="00A978A6">
        <w:rPr>
          <w:rStyle w:val="Rimandonotaapidipagina"/>
        </w:rPr>
        <w:footnoteReference w:id="3"/>
      </w:r>
      <w:r w:rsidR="00864DCA">
        <w:t xml:space="preserve">. </w:t>
      </w:r>
    </w:p>
    <w:p w14:paraId="112C8712" w14:textId="203EC9F6" w:rsidR="00A978A6" w:rsidRDefault="00A978A6">
      <w:r>
        <w:t xml:space="preserve">Dagli anni ’90 infatti, si sviluppa un programma di ricerca opposto, che afferma una visione “extracranica” della cognizione, </w:t>
      </w:r>
      <w:r w:rsidR="00864B62">
        <w:t xml:space="preserve">in cui l’attività psicologica non è confinata nel cervello biologico, o nella mente computazionale simbolica, ma </w:t>
      </w:r>
      <w:r w:rsidR="00113A43">
        <w:t xml:space="preserve">attraversa continuamente i confini tra cervello, corpo e ambiente circostante. </w:t>
      </w:r>
      <w:r w:rsidR="00764657">
        <w:t xml:space="preserve">La mente smette dunque di essere astratta, simbolica, rappresentazionale e solipsistica, iniziando ad essere definita come </w:t>
      </w:r>
      <w:r w:rsidR="00561F59">
        <w:t xml:space="preserve">dinamica, distribuita, situata, estesa ed atta all’azione. </w:t>
      </w:r>
    </w:p>
    <w:p w14:paraId="31565432" w14:textId="1A81FEFF" w:rsidR="008E5C6B" w:rsidRDefault="00561F59" w:rsidP="008E5C6B">
      <w:r>
        <w:t xml:space="preserve">In letteratura questo nuovo programma di ricerca all’avanguardia, viene </w:t>
      </w:r>
      <w:r w:rsidR="008E5C6B">
        <w:t>solitamente indicato con 4E Cognition; la cognizione è cioè:</w:t>
      </w:r>
    </w:p>
    <w:p w14:paraId="5A748592" w14:textId="3B038ED2" w:rsidR="008E5C6B" w:rsidRDefault="00B746FB" w:rsidP="008E5C6B">
      <w:pPr>
        <w:pStyle w:val="Paragrafoelenco"/>
        <w:numPr>
          <w:ilvl w:val="0"/>
          <w:numId w:val="2"/>
        </w:numPr>
      </w:pPr>
      <w:r>
        <w:t>Embodied (incarnata)= i processi cognitivi non sono solo attività mentali astratte, ma sono profondamente intrecciate con il corpo</w:t>
      </w:r>
      <w:r w:rsidR="00BF3EE9">
        <w:t xml:space="preserve"> (postura, sensazioni fisiche, movimenti…); mente e corpo non sono più separabili, e partecipano alla cognizione contemporaneamente (l’azione non è più solo l’output dell’elaborazione mentale).</w:t>
      </w:r>
    </w:p>
    <w:p w14:paraId="73DEAC33" w14:textId="124FC728" w:rsidR="008E5C6B" w:rsidRDefault="008E5C6B" w:rsidP="008E5C6B">
      <w:pPr>
        <w:pStyle w:val="Paragrafoelenco"/>
        <w:numPr>
          <w:ilvl w:val="0"/>
          <w:numId w:val="2"/>
        </w:numPr>
      </w:pPr>
      <w:r>
        <w:t>Embedded</w:t>
      </w:r>
      <w:r w:rsidR="00B746FB">
        <w:t xml:space="preserve"> </w:t>
      </w:r>
      <w:r w:rsidR="00BF3EE9">
        <w:t>(situata)= la mente è situata nell’ambiente, nel contesto socio-culturale</w:t>
      </w:r>
      <w:r w:rsidR="00AC3D89">
        <w:t>; il nostro pensiero e quindi il nostro comportamento sono il risultato di interazioni dinamiche con il mondo fisico/culturale in cui viviamo.</w:t>
      </w:r>
    </w:p>
    <w:p w14:paraId="7F765C7D" w14:textId="7DE87C3C" w:rsidR="008E5C6B" w:rsidRDefault="008E5C6B" w:rsidP="008E5C6B">
      <w:pPr>
        <w:pStyle w:val="Paragrafoelenco"/>
        <w:numPr>
          <w:ilvl w:val="0"/>
          <w:numId w:val="2"/>
        </w:numPr>
      </w:pPr>
      <w:r>
        <w:t>Extended</w:t>
      </w:r>
      <w:r w:rsidR="00AC3D89">
        <w:t xml:space="preserve"> (estesa)= la mente si estende nel mondo, i nostri processi cognitivi possono essere supportati anche da oggetti esterni (tecnologie) e non sono confinati esclusivamente nel cervello biologico.</w:t>
      </w:r>
    </w:p>
    <w:p w14:paraId="354C8A82" w14:textId="5E888D74" w:rsidR="008E5C6B" w:rsidRDefault="008E5C6B" w:rsidP="008E5C6B">
      <w:pPr>
        <w:pStyle w:val="Paragrafoelenco"/>
        <w:numPr>
          <w:ilvl w:val="0"/>
          <w:numId w:val="2"/>
        </w:numPr>
      </w:pPr>
      <w:r>
        <w:t>Enacted</w:t>
      </w:r>
      <w:r w:rsidR="00AC3D89">
        <w:t xml:space="preserve"> (</w:t>
      </w:r>
      <w:r w:rsidR="005357B3">
        <w:t xml:space="preserve">in </w:t>
      </w:r>
      <w:proofErr w:type="gramStart"/>
      <w:r w:rsidR="005357B3">
        <w:t>atto)=</w:t>
      </w:r>
      <w:proofErr w:type="gramEnd"/>
      <w:r w:rsidR="005357B3">
        <w:t xml:space="preserve"> la cognizione emerge attraverso l’azione e l’interazione con l’ambiente; il pensiero è </w:t>
      </w:r>
      <w:r w:rsidR="00C17236">
        <w:t>orientato</w:t>
      </w:r>
      <w:r w:rsidR="005357B3">
        <w:t xml:space="preserve"> all’azione, e l’azione </w:t>
      </w:r>
      <w:r w:rsidR="00C17236">
        <w:t>ha un ruolo fondamentale nella costruzione dei processi cognitivi.</w:t>
      </w:r>
    </w:p>
    <w:p w14:paraId="30F7338F" w14:textId="2D748F21" w:rsidR="00C17236" w:rsidRDefault="00C17236" w:rsidP="00C17236">
      <w:r>
        <w:t>Il programma di ricerca delle 4E è vasto e vario, e i 4 orientamenti spesso si possono trovare uno in contrapposizione all’altro</w:t>
      </w:r>
      <w:r w:rsidR="002660F4">
        <w:t xml:space="preserve">, ma un’assunzione di base sembra porre una base di comune accordo: la cognizione umana non può essere vincolata </w:t>
      </w:r>
      <w:r w:rsidR="009A351C">
        <w:t xml:space="preserve">né dentro la tradizionale </w:t>
      </w:r>
      <w:r w:rsidR="009A351C" w:rsidRPr="009A351C">
        <w:rPr>
          <w:i/>
          <w:iCs/>
        </w:rPr>
        <w:t xml:space="preserve">res </w:t>
      </w:r>
      <w:proofErr w:type="spellStart"/>
      <w:r w:rsidR="009A351C" w:rsidRPr="009A351C">
        <w:rPr>
          <w:i/>
          <w:iCs/>
        </w:rPr>
        <w:t>cogitans</w:t>
      </w:r>
      <w:proofErr w:type="spellEnd"/>
      <w:r w:rsidR="009A351C">
        <w:t xml:space="preserve"> cartesiana, né all’interno delle pareti intracraniche e quindi del cervello biologico</w:t>
      </w:r>
      <w:r w:rsidR="00A41BE0">
        <w:t xml:space="preserve">; i </w:t>
      </w:r>
      <w:r w:rsidR="009A351C">
        <w:t xml:space="preserve">nostri processi cognitivi </w:t>
      </w:r>
      <w:r w:rsidR="00A41BE0">
        <w:t xml:space="preserve">sono plasmati dal mondo </w:t>
      </w:r>
      <w:r w:rsidR="008055E3">
        <w:t>circostante.</w:t>
      </w:r>
      <w:r w:rsidR="00A41BE0">
        <w:t xml:space="preserve"> </w:t>
      </w:r>
    </w:p>
    <w:p w14:paraId="38763DE8" w14:textId="3DD227AE" w:rsidR="00A41BE0" w:rsidRDefault="00A41BE0" w:rsidP="00585B9F">
      <w:r>
        <w:t xml:space="preserve">Questa idea di base è </w:t>
      </w:r>
      <w:r w:rsidR="00585B9F">
        <w:t xml:space="preserve">stata anticipata dalle riflessioni filosofiche di Dewey, Heidegger, </w:t>
      </w:r>
      <w:r w:rsidR="00585B9F">
        <w:t>Merleau-Ponty,</w:t>
      </w:r>
      <w:r w:rsidR="00585B9F">
        <w:t xml:space="preserve"> e </w:t>
      </w:r>
      <w:r w:rsidR="00585B9F">
        <w:t>Wittgenstein</w:t>
      </w:r>
      <w:r w:rsidR="00585B9F">
        <w:t>; anche in psicologia</w:t>
      </w:r>
      <w:r w:rsidR="007F691F">
        <w:t>, a partire dagli anni ’90, si sottolinea come l’impostazione del cognitivismo classico non sia più in grado di rendere conto del funzionamento dei processi cognitivi.</w:t>
      </w:r>
      <w:r w:rsidR="00EF3D62">
        <w:t xml:space="preserve"> </w:t>
      </w:r>
    </w:p>
    <w:p w14:paraId="6FD8A406" w14:textId="77777777" w:rsidR="00AC6020" w:rsidRDefault="00AC6020" w:rsidP="00585B9F"/>
    <w:p w14:paraId="0618DFD5" w14:textId="3C0BE0E6" w:rsidR="00EF3D62" w:rsidRDefault="00EF3D62" w:rsidP="00585B9F">
      <w:r>
        <w:t xml:space="preserve">Ad esempio </w:t>
      </w:r>
      <w:proofErr w:type="spellStart"/>
      <w:r>
        <w:t>Neisser</w:t>
      </w:r>
      <w:proofErr w:type="spellEnd"/>
      <w:r w:rsidR="00AC6020">
        <w:t xml:space="preserve"> </w:t>
      </w:r>
      <w:r>
        <w:t xml:space="preserve">critica l’approccio individualista classico </w:t>
      </w:r>
      <w:r w:rsidR="0029639C">
        <w:t>usato per spiegare la memoria, affermando che “s</w:t>
      </w:r>
      <w:r w:rsidR="0029639C" w:rsidRPr="0029639C">
        <w:t>e X è un aspetto interessante o socialmente significativo della memoria, allora gli psicologi non hanno quasi mai studiato X</w:t>
      </w:r>
      <w:r w:rsidR="0029639C">
        <w:t xml:space="preserve">” </w:t>
      </w:r>
      <w:r w:rsidR="0029639C">
        <w:rPr>
          <w:rStyle w:val="Rimandonotaapidipagina"/>
        </w:rPr>
        <w:footnoteReference w:id="4"/>
      </w:r>
      <w:r w:rsidR="0029639C">
        <w:t>. Alcuni anni dopo, Wegner</w:t>
      </w:r>
      <w:r w:rsidR="00B80A05">
        <w:t xml:space="preserve"> (1986)</w:t>
      </w:r>
      <w:r w:rsidR="0029639C">
        <w:t xml:space="preserve">, rispondendo alle perplessità di </w:t>
      </w:r>
      <w:proofErr w:type="spellStart"/>
      <w:r w:rsidR="0029639C">
        <w:t>Neisser</w:t>
      </w:r>
      <w:proofErr w:type="spellEnd"/>
      <w:r w:rsidR="0029639C">
        <w:t xml:space="preserve">, introduce il concetto di memoria </w:t>
      </w:r>
      <w:r w:rsidR="00B80A05">
        <w:t>transattiva, cioè un sistema di memoria condiviso da più individui che organizzano le informazioni in modo collaborativo</w:t>
      </w:r>
      <w:r w:rsidR="00B80A05">
        <w:rPr>
          <w:rStyle w:val="Rimandonotaapidipagina"/>
        </w:rPr>
        <w:footnoteReference w:id="5"/>
      </w:r>
      <w:r w:rsidR="00C86317">
        <w:t>.</w:t>
      </w:r>
    </w:p>
    <w:p w14:paraId="5E475287" w14:textId="2FFFB2D9" w:rsidR="00C86317" w:rsidRDefault="009C6727" w:rsidP="00585B9F">
      <w:r>
        <w:t xml:space="preserve">Questo è uno dei primi esempi di mente </w:t>
      </w:r>
      <w:r w:rsidR="005C4FA2">
        <w:t>situata</w:t>
      </w:r>
      <w:r>
        <w:t xml:space="preserve">: la memoria si costruisce grazie alle interazioni tra esseri umani. </w:t>
      </w:r>
    </w:p>
    <w:p w14:paraId="4546C427" w14:textId="3E0F7320" w:rsidR="009C6727" w:rsidRDefault="009C6727" w:rsidP="00585B9F">
      <w:r>
        <w:t xml:space="preserve">Ma ciò che differenzia l’approccio 4E dalle riflessioni precedenti, è </w:t>
      </w:r>
      <w:r w:rsidR="00AC6020">
        <w:t xml:space="preserve">l’importanza che si da all’uso degli artefatti tecnologici nella costruzione dei nostri processi mentali. </w:t>
      </w:r>
    </w:p>
    <w:p w14:paraId="79C58B89" w14:textId="5ACFD02A" w:rsidR="005C4FA2" w:rsidRDefault="005C4FA2" w:rsidP="005C4FA2">
      <w:r>
        <w:t xml:space="preserve">Ad esempio: </w:t>
      </w:r>
      <w:proofErr w:type="spellStart"/>
      <w:r>
        <w:t>Vygotsky</w:t>
      </w:r>
      <w:proofErr w:type="spellEnd"/>
      <w:r>
        <w:t xml:space="preserve"> </w:t>
      </w:r>
      <w:r>
        <w:t>(1978)</w:t>
      </w:r>
      <w:r>
        <w:t xml:space="preserve"> </w:t>
      </w:r>
      <w:r w:rsidR="00BE4CFE">
        <w:t xml:space="preserve">discute la tecnica mnemonica di legare un nodo al fazzoletto per ricordare appuntamenti; </w:t>
      </w:r>
      <w:r w:rsidR="00BE4CFE" w:rsidRPr="00BE4CFE">
        <w:t>Beach (1993)</w:t>
      </w:r>
      <w:r w:rsidR="00BE4CFE">
        <w:t xml:space="preserve"> mostra come i bartenders combinino </w:t>
      </w:r>
      <w:r w:rsidR="00DE5AF0">
        <w:t xml:space="preserve">bicchieri di forme diverse nello spazio per ricordare gli ordini; </w:t>
      </w:r>
      <w:proofErr w:type="spellStart"/>
      <w:r w:rsidR="00DE5AF0" w:rsidRPr="00DE5AF0">
        <w:t>Kirsh</w:t>
      </w:r>
      <w:proofErr w:type="spellEnd"/>
      <w:r w:rsidR="00DE5AF0" w:rsidRPr="00DE5AF0">
        <w:t xml:space="preserve"> and Maglio (1994)</w:t>
      </w:r>
      <w:r w:rsidR="00DE5AF0">
        <w:t xml:space="preserve"> mostrano che nel giocare a Tetris il giocatore muove nello spazio i tasselli, e non solo mentalmente; </w:t>
      </w:r>
      <w:r w:rsidR="00DE5AF0" w:rsidRPr="00DE5AF0">
        <w:t>Maglio et al. (1999)</w:t>
      </w:r>
      <w:r w:rsidR="00DE5AF0">
        <w:t xml:space="preserve"> mostra allo stesso modo come i giocatori di scarabeo siano più performanti quando viene concesso loro di muovere </w:t>
      </w:r>
      <w:r w:rsidR="007A390D">
        <w:t>i</w:t>
      </w:r>
      <w:r w:rsidR="00DE5AF0">
        <w:t xml:space="preserve"> </w:t>
      </w:r>
      <w:r w:rsidR="007A390D">
        <w:t>tasselli</w:t>
      </w:r>
      <w:r w:rsidR="00DE5AF0">
        <w:t xml:space="preserve"> fisicamente anziché solo mentalmente. </w:t>
      </w:r>
    </w:p>
    <w:p w14:paraId="3511B12A" w14:textId="287E9351" w:rsidR="007A390D" w:rsidRDefault="007A390D" w:rsidP="005C4FA2">
      <w:r>
        <w:t xml:space="preserve">Tutti questi esempi classici rappresentano ciò che viene chiamato “cognitive </w:t>
      </w:r>
      <w:proofErr w:type="spellStart"/>
      <w:r>
        <w:t>offloading</w:t>
      </w:r>
      <w:proofErr w:type="spellEnd"/>
      <w:r w:rsidR="009421B4">
        <w:t>”</w:t>
      </w:r>
      <w:r>
        <w:t xml:space="preserve">: </w:t>
      </w:r>
      <w:r w:rsidR="009421B4">
        <w:t xml:space="preserve">i processi cognitivi sono scaricati nell’ambiente circostante. La mente si sviluppa dunque dinamicamente tra entità sociali e tecnologiche; il cervello biologico </w:t>
      </w:r>
      <w:r w:rsidR="006564F4">
        <w:t>“</w:t>
      </w:r>
      <w:r w:rsidR="009421B4">
        <w:t>è necessario, ma non sufficiente alla cognizione”</w:t>
      </w:r>
      <w:r w:rsidR="006564F4">
        <w:rPr>
          <w:rStyle w:val="Rimandonotaapidipagina"/>
        </w:rPr>
        <w:footnoteReference w:id="6"/>
      </w:r>
      <w:r w:rsidR="006564F4">
        <w:t>.</w:t>
      </w:r>
    </w:p>
    <w:p w14:paraId="636B7AD8" w14:textId="152D7C92" w:rsidR="004B17BB" w:rsidRDefault="004B17BB" w:rsidP="005C4FA2">
      <w:r>
        <w:t xml:space="preserve">La letteratura della cognizione 4E inizia dalla pubblicazione, nel 1998, dell’articolo sulla mente estesa di Clark e Chalmers: i due autori affermano che la mente si estende </w:t>
      </w:r>
      <w:r w:rsidR="00B226BD">
        <w:t xml:space="preserve">nel mondo fisico, </w:t>
      </w:r>
      <w:r>
        <w:t>grazie agli artefatti tecnologic</w:t>
      </w:r>
      <w:r w:rsidR="00B226BD">
        <w:t xml:space="preserve">i. Celebre è l’esperimento mentale di Otto e Inga, ingaggiato per dimostrare questa tesi: allo stesso modo in cui Inga fa ricorso alla sua memoria biologica per ricordare l’indirizzo del museo, Otto, che soffre di Alzheimer, fa ricorso al suo taccuino dove è segnata l’informazione che cerca. </w:t>
      </w:r>
      <w:r w:rsidR="00E36782">
        <w:t xml:space="preserve">I due autori argomentano che il taccuino di Otto ha la stessa funzione della memoria di Inga e quindi, anche se collocato nel mondo esterno, il taccuino è parte della mente di Otto. </w:t>
      </w:r>
      <w:r w:rsidR="00CD7809">
        <w:t>I processi cognitivi non sono dunque tutti interni alla mente! È questo il principio di parità formulato da Clark e Chalmers: “</w:t>
      </w:r>
      <w:r w:rsidR="00CD7809" w:rsidRPr="00CD7809">
        <w:t>Se, mentre affrontiamo un compito, una parte del mondo funge da processo che, se fosse fatto nella testa, non avremmo esitazioni a riconoscere come parte del processo cognitivo, allora quella parte del mondo è (così affermiamo) parte del processo cognitivo</w:t>
      </w:r>
      <w:r w:rsidR="00242D94">
        <w:t>”.</w:t>
      </w:r>
    </w:p>
    <w:p w14:paraId="5218B78E" w14:textId="6FB04AFB" w:rsidR="00242D94" w:rsidRDefault="00242D94" w:rsidP="005C4FA2">
      <w:r>
        <w:t xml:space="preserve">Il principio di parità funzionale è stato discusso da molti e criticato da tanti, tant’è che </w:t>
      </w:r>
      <w:r w:rsidR="008F4F07">
        <w:t xml:space="preserve">è stato sostituito da alcuni con il principio di complementarietà che si </w:t>
      </w:r>
      <w:r w:rsidR="001249D0">
        <w:t>“</w:t>
      </w:r>
      <w:r w:rsidR="008F4F07">
        <w:t xml:space="preserve">focalizza </w:t>
      </w:r>
      <w:r w:rsidR="001249D0">
        <w:t xml:space="preserve">non più sull’isomorfismo funzionale, ma </w:t>
      </w:r>
      <w:r w:rsidR="008F4F07">
        <w:t>su come entità eterogenee cooperino</w:t>
      </w:r>
      <w:r w:rsidR="001249D0">
        <w:t xml:space="preserve"> per guidare azioni e pensieri più o meno intelligenti”</w:t>
      </w:r>
      <w:r w:rsidR="001249D0">
        <w:rPr>
          <w:rStyle w:val="Rimandonotaapidipagina"/>
        </w:rPr>
        <w:footnoteReference w:id="7"/>
      </w:r>
      <w:r w:rsidR="001249D0">
        <w:t>.</w:t>
      </w:r>
    </w:p>
    <w:p w14:paraId="3FF9079A" w14:textId="60A99932" w:rsidR="006564F4" w:rsidRDefault="00AC70E2" w:rsidP="005C4FA2">
      <w:r>
        <w:t xml:space="preserve">Ugualmente influente è anche la teoria della mente distribuita di Hutchins (2014): </w:t>
      </w:r>
      <w:r w:rsidR="000A6C6B">
        <w:t xml:space="preserve">la mente è un sistema dinamico che si estende oltre il cervello, coinvolgendo interazioni </w:t>
      </w:r>
      <w:r w:rsidR="00C42D4A">
        <w:t xml:space="preserve">socio-tecnologiche. </w:t>
      </w:r>
      <w:r w:rsidR="00951221">
        <w:t>Per spiegare la sua teoria, Hutchins utilizza un</w:t>
      </w:r>
      <w:r w:rsidR="00627426">
        <w:t xml:space="preserve">o </w:t>
      </w:r>
      <w:r w:rsidR="00951221">
        <w:t xml:space="preserve">studio antropologico </w:t>
      </w:r>
      <w:r w:rsidR="00D533DE">
        <w:t>sulla navigazione</w:t>
      </w:r>
      <w:r w:rsidR="00627426">
        <w:t xml:space="preserve"> condotto da egli stesso nel 1995</w:t>
      </w:r>
      <w:r w:rsidR="00D533DE">
        <w:t xml:space="preserve">: come nella navigazione marittima, anche il processo cognitivo coinvolge diversi elementi tra cui l’equipaggio (ognuno ha ruoli specifici), </w:t>
      </w:r>
      <w:r w:rsidR="00627426">
        <w:t xml:space="preserve">gli </w:t>
      </w:r>
      <w:r w:rsidR="00D533DE">
        <w:t xml:space="preserve">strumenti (mappe, radar, bussole che influenzano le azioni dei navigatori) e </w:t>
      </w:r>
      <w:r w:rsidR="00627426">
        <w:t>l’</w:t>
      </w:r>
      <w:r w:rsidR="00D533DE">
        <w:t>ambiente circostante (condizioni ambientali)</w:t>
      </w:r>
      <w:r w:rsidR="009B0432">
        <w:t xml:space="preserve">. Il successo della navigazione dipende dalla coordinazione tra </w:t>
      </w:r>
      <w:r w:rsidR="009B0432">
        <w:lastRenderedPageBreak/>
        <w:t>questi elementi; allo stesso modo la cognizione funziona dinamicamente e nasce dalla coordinazione armonica tra</w:t>
      </w:r>
      <w:r w:rsidR="00627426">
        <w:t xml:space="preserve"> funzionalità biologiche intracraniche e</w:t>
      </w:r>
      <w:r w:rsidR="009B0432">
        <w:t xml:space="preserve"> vari fattori sociali e tecnici. </w:t>
      </w:r>
    </w:p>
    <w:p w14:paraId="3B4292A5" w14:textId="75BE2258" w:rsidR="00627426" w:rsidRDefault="00F93BDD" w:rsidP="005C4FA2">
      <w:r>
        <w:t>Il nuovo approccio però non è esente da critiche; in particolare 2 sono le fondamentali: il concetto id cognizione e la rappresentazione cartesiana di fondo.</w:t>
      </w:r>
    </w:p>
    <w:p w14:paraId="05C90F5B" w14:textId="1B0E8464" w:rsidR="00F93BDD" w:rsidRDefault="00D31589" w:rsidP="003E7566">
      <w:r>
        <w:t xml:space="preserve">La nozione di cognizione, termine tradizionale della psicologia cognitiva, </w:t>
      </w:r>
      <w:r w:rsidR="00163BD3">
        <w:t xml:space="preserve">fa cadere l’approccio 4E in alcuni noti trabocchetti filosofici; di fatto continua ad essere assunto che la cognizione </w:t>
      </w:r>
      <w:r w:rsidR="003E7566">
        <w:t>sia un’attività fondamentale che avviene continuamente nella nostra vita quotidiana. Questa idea però è già stata rifiutata dagli stessi precursori dell’approccio 4E (</w:t>
      </w:r>
      <w:r w:rsidR="003E7566">
        <w:t>Dewey, Heidegger, Merleau-Ponty, Wittgenstein)</w:t>
      </w:r>
      <w:r w:rsidR="003E7566">
        <w:t xml:space="preserve"> </w:t>
      </w:r>
      <w:r w:rsidR="009F1CCF">
        <w:t>e più in generale dalla tradizione fenomenologica per cui la cognizione è un fenomeno derivato che nasce da</w:t>
      </w:r>
      <w:r w:rsidR="005C3BC3">
        <w:t>ll’interazione diretta con il mondo, da esperienze e strategie pratiche di adattamento alla realtà.</w:t>
      </w:r>
      <w:r w:rsidR="000E0EE2">
        <w:t xml:space="preserve"> Infatti </w:t>
      </w:r>
      <w:r w:rsidR="000E0EE2" w:rsidRPr="000E0EE2">
        <w:t>Heidegger</w:t>
      </w:r>
      <w:r w:rsidR="000E0EE2">
        <w:t xml:space="preserve"> (2008) contesta vivamente l’idea tradizionale di una cognizione onnipresente, contrapponendo un’immagine di cognizione come modo di stare al mondo che si attiva solo in situazioni </w:t>
      </w:r>
      <w:r w:rsidR="00451037">
        <w:t xml:space="preserve">di rottura nel nostro vissuto quotidiano. </w:t>
      </w:r>
    </w:p>
    <w:p w14:paraId="530E6E91" w14:textId="6665F780" w:rsidR="006564F4" w:rsidRDefault="002556D7" w:rsidP="005C4FA2">
      <w:r>
        <w:t xml:space="preserve">Combinando la cognizione con lo stare al mondo quotidiano, la cognizione 4E </w:t>
      </w:r>
      <w:r w:rsidR="00D60996">
        <w:t>ritorna ad un residuale cartesianesimo di fondo: cambia la forma dell’Io cartesiano ma non la sua funzione</w:t>
      </w:r>
      <w:r w:rsidR="000E5F2A">
        <w:t xml:space="preserve">, che rimane quella di risolvere problemi e pensare mantenendo una certa distanza dal mondo in cui agisce. In ultima analisi dunque, il nuovo approccio non riesce a eliminare completamente la dicotomia </w:t>
      </w:r>
      <w:r w:rsidR="00865984">
        <w:t>cartesiana che filosofi del XX sec. hanno cercato di superare (</w:t>
      </w:r>
      <w:r w:rsidR="00865984" w:rsidRPr="00865984">
        <w:t>Wittgenstein</w:t>
      </w:r>
      <w:r w:rsidR="00865984">
        <w:t xml:space="preserve">). </w:t>
      </w:r>
    </w:p>
    <w:p w14:paraId="43987FA0" w14:textId="77777777" w:rsidR="005F6997" w:rsidRDefault="00865984" w:rsidP="00C67BC1">
      <w:r>
        <w:t xml:space="preserve">La tradizione fenomenologica è in grado di offrirci concetti alternativi </w:t>
      </w:r>
      <w:r w:rsidR="00C67BC1">
        <w:t>per descrivere il flusso relazionale della nostra esistenza quotidiana</w:t>
      </w:r>
      <w:r w:rsidR="002924E0">
        <w:t>, come il concetto di</w:t>
      </w:r>
      <w:r w:rsidR="00C67BC1">
        <w:t xml:space="preserve"> stare al mondo </w:t>
      </w:r>
      <w:r w:rsidR="00C67BC1" w:rsidRPr="00C67BC1">
        <w:t>(Heidegger)</w:t>
      </w:r>
      <w:r w:rsidR="002924E0">
        <w:t xml:space="preserve"> e quello di</w:t>
      </w:r>
      <w:r w:rsidR="00C67BC1">
        <w:t xml:space="preserve"> percezione </w:t>
      </w:r>
      <w:r w:rsidR="00C67BC1">
        <w:t>(Merleau-Ponty)</w:t>
      </w:r>
      <w:r w:rsidR="002924E0">
        <w:t xml:space="preserve">: ciò che </w:t>
      </w:r>
      <w:r w:rsidR="005F6997">
        <w:t>gli psicologi cognitivi chiamano cognizione è in realtà percezione.</w:t>
      </w:r>
    </w:p>
    <w:p w14:paraId="32FF7119" w14:textId="5B27E99A" w:rsidR="00865984" w:rsidRDefault="005F6997" w:rsidP="00C67BC1">
      <w:r>
        <w:t xml:space="preserve">Il secondo punto critico </w:t>
      </w:r>
      <w:r w:rsidR="00F556DD">
        <w:t xml:space="preserve">della cognizione </w:t>
      </w:r>
      <w:r>
        <w:t xml:space="preserve">4E è sottolineato da </w:t>
      </w:r>
      <w:r w:rsidRPr="005F6997">
        <w:t>Dreyfus</w:t>
      </w:r>
      <w:r>
        <w:t xml:space="preserve"> (2014), </w:t>
      </w:r>
      <w:r w:rsidR="00F556DD">
        <w:t>per il quale essa “preserva l</w:t>
      </w:r>
      <w:r w:rsidR="00F556DD" w:rsidRPr="00F556DD">
        <w:t>'assunzione cartesiana che il nostro modo fondamentale di relazionarci al mondo sia attraverso l'uso di rappresentazioni come credenze e memorie, che si tratti della mente o di quaderni nel mondo</w:t>
      </w:r>
      <w:r w:rsidR="00F556DD">
        <w:t xml:space="preserve">”. </w:t>
      </w:r>
      <w:r w:rsidR="0031361A">
        <w:t xml:space="preserve"> Di fatto, il nuovo approccio rimane restio ad abbandonare completamente l’idea di rappresentazione interna che media tra uno stimolo ambientale ed un output comportamentale; Hutchins </w:t>
      </w:r>
      <w:r w:rsidR="008E0C02">
        <w:t>s</w:t>
      </w:r>
      <w:r w:rsidR="004F4071">
        <w:t>tesso s</w:t>
      </w:r>
      <w:r w:rsidR="008E0C02">
        <w:t xml:space="preserve">ostiene l’esistenza di un processo interno di rappresentazione simbolica, mentre Clark e </w:t>
      </w:r>
      <w:proofErr w:type="spellStart"/>
      <w:r w:rsidR="008E0C02">
        <w:t>Taribio</w:t>
      </w:r>
      <w:proofErr w:type="spellEnd"/>
      <w:r w:rsidR="008E0C02">
        <w:t xml:space="preserve"> </w:t>
      </w:r>
      <w:r w:rsidR="004F4071">
        <w:t xml:space="preserve">sottolineano come i semplici input fisici non sono in grado da soli di dirci se il quadro che stiamo guardando sia un’opera d’arte di valore, ma hanno bisogno di essere processati da rappresentazioni </w:t>
      </w:r>
      <w:r w:rsidR="00237C76">
        <w:t xml:space="preserve"> mentali che diano un significato ai dati fisici.</w:t>
      </w:r>
    </w:p>
    <w:p w14:paraId="2F7E5B23" w14:textId="40FC943D" w:rsidR="00237C76" w:rsidRDefault="00237C76" w:rsidP="00C67BC1">
      <w:r>
        <w:t xml:space="preserve">D’altra parte Kelly (2005), riesce a contradire questa idea da una prospettiva fenomenologica: </w:t>
      </w:r>
      <w:r w:rsidR="00515A70">
        <w:t>il valore monetario non è risultato di un’attribuzione mentale di valore a pezzi di carta, ma di una percezione diretta delle affordances</w:t>
      </w:r>
      <w:r w:rsidR="00735BCA">
        <w:rPr>
          <w:rStyle w:val="Rimandonotaapidipagina"/>
        </w:rPr>
        <w:footnoteReference w:id="8"/>
      </w:r>
      <w:r w:rsidR="00515A70">
        <w:t xml:space="preserve"> del denaro.</w:t>
      </w:r>
      <w:r w:rsidR="002C1FD7">
        <w:t xml:space="preserve"> Per questo valute straniere non ci sembrano </w:t>
      </w:r>
      <w:r w:rsidR="002C1FD7">
        <w:t xml:space="preserve">immediatamente </w:t>
      </w:r>
      <w:r w:rsidR="002C1FD7">
        <w:t xml:space="preserve">valorose quanto la valuta domestica. </w:t>
      </w:r>
    </w:p>
    <w:p w14:paraId="089DF455" w14:textId="2C033201" w:rsidR="0096126E" w:rsidRDefault="00A76C97" w:rsidP="00C67BC1">
      <w:r>
        <w:t xml:space="preserve">Ciò che apprendiamo non viene rappresentato nella mente e aggiunto all’esperienza presente, ma ci si presenta nel modo in cui il mondo </w:t>
      </w:r>
      <w:r w:rsidR="0096126E">
        <w:t>si presenta</w:t>
      </w:r>
      <w:r w:rsidR="0096126E">
        <w:rPr>
          <w:rStyle w:val="Rimandonotaapidipagina"/>
        </w:rPr>
        <w:footnoteReference w:id="9"/>
      </w:r>
      <w:r w:rsidR="0096126E">
        <w:t>.</w:t>
      </w:r>
      <w:r w:rsidR="00AA6D4A">
        <w:t xml:space="preserve"> </w:t>
      </w:r>
      <w:r w:rsidR="0096126E">
        <w:t xml:space="preserve">La cognizione 4E è stata utile </w:t>
      </w:r>
      <w:r w:rsidR="00AA6D4A">
        <w:t>per</w:t>
      </w:r>
      <w:r w:rsidR="0096126E">
        <w:t xml:space="preserve"> superare gli ostacoli posti dal cognitivismo classico, </w:t>
      </w:r>
      <w:r w:rsidR="00AA6D4A">
        <w:t>ma è arrivato il momento di compiere dei passi verso la ricerca sul post-cognitivismo e sul non-</w:t>
      </w:r>
      <w:proofErr w:type="spellStart"/>
      <w:r w:rsidR="00AA6D4A">
        <w:t>rappresentazionallismo</w:t>
      </w:r>
      <w:proofErr w:type="spellEnd"/>
      <w:r w:rsidR="00AA6D4A">
        <w:t>.</w:t>
      </w:r>
    </w:p>
    <w:p w14:paraId="6732942E" w14:textId="70718AD6" w:rsidR="00C61A3E" w:rsidRDefault="00AA6D4A" w:rsidP="00C67BC1">
      <w:r>
        <w:t xml:space="preserve">Oltre </w:t>
      </w:r>
      <w:r w:rsidR="007F6D84">
        <w:t xml:space="preserve">a </w:t>
      </w:r>
      <w:r>
        <w:t xml:space="preserve">queste due obiezioni classiche, </w:t>
      </w:r>
      <w:bookmarkStart w:id="0" w:name="_Hlk178608634"/>
      <w:r w:rsidRPr="00AA6D4A">
        <w:t>Jesper Aagaard</w:t>
      </w:r>
      <w:r>
        <w:t xml:space="preserve"> </w:t>
      </w:r>
      <w:bookmarkEnd w:id="0"/>
      <w:r>
        <w:t>(2021)</w:t>
      </w:r>
      <w:r w:rsidR="007F6D84">
        <w:rPr>
          <w:rStyle w:val="Rimandonotaapidipagina"/>
        </w:rPr>
        <w:footnoteReference w:id="10"/>
      </w:r>
      <w:r>
        <w:t xml:space="preserve"> ne aggiunge un’altra, </w:t>
      </w:r>
      <w:r w:rsidR="007F6D84">
        <w:t>a lungo ignorata dalla trattazione filosofico-psicologica, rappresentata da ciò che il ricercatore definisce il “dogma dell’armonia</w:t>
      </w:r>
      <w:r w:rsidR="00C61A3E">
        <w:t>”</w:t>
      </w:r>
      <w:r w:rsidR="007F6D84">
        <w:t xml:space="preserve">. </w:t>
      </w:r>
      <w:r w:rsidR="002018A5">
        <w:t>Secondo Aagaard infatti, la letteratur</w:t>
      </w:r>
      <w:r w:rsidR="00C61A3E">
        <w:t>a</w:t>
      </w:r>
      <w:r w:rsidR="002018A5">
        <w:t xml:space="preserve"> 4E ha da sempre avuto la tendenza a esaltare la cooperazione </w:t>
      </w:r>
      <w:r w:rsidR="002018A5">
        <w:lastRenderedPageBreak/>
        <w:t>um</w:t>
      </w:r>
      <w:r w:rsidR="00387946">
        <w:t>a</w:t>
      </w:r>
      <w:r w:rsidR="002018A5">
        <w:t xml:space="preserve">no-tecnologica, sminuendo le problematicità dell’uso tecnologico. </w:t>
      </w:r>
      <w:r w:rsidR="00FC12CE">
        <w:t xml:space="preserve">Così come </w:t>
      </w:r>
      <w:proofErr w:type="spellStart"/>
      <w:r w:rsidR="00FC12CE">
        <w:t>Matusov</w:t>
      </w:r>
      <w:proofErr w:type="spellEnd"/>
      <w:r w:rsidR="00FC12CE">
        <w:t xml:space="preserve"> (1996) sostiene che la </w:t>
      </w:r>
      <w:r w:rsidR="00FC12CE" w:rsidRPr="00FC12CE">
        <w:t>concettualizzazione tradizionale dell'intersoggettività tende a sottolineare eccessivamente l'accordo tra i partecipanti e a sminuire il disaccordo, il conflitto e altre situazioni disarmoniche</w:t>
      </w:r>
      <w:r w:rsidR="00FC12CE">
        <w:t xml:space="preserve">, allo stesso modo Aagaard </w:t>
      </w:r>
      <w:r w:rsidR="00617E71">
        <w:t xml:space="preserve">critica la tendenza della letteratura 4E a enfatizzare sproporzionalmente </w:t>
      </w:r>
      <w:r w:rsidR="00C61A3E">
        <w:t xml:space="preserve">l’accordo, sminuendo la disarmonia, tra i partecipanti (umani e non) nelle relazioni umano-tecnologiche. </w:t>
      </w:r>
      <w:r w:rsidR="00972D08">
        <w:t>Questa tendenza all’armonia emerge chiaramente dal pensiero degli esponenti del nuovo approccio:</w:t>
      </w:r>
    </w:p>
    <w:p w14:paraId="1E327115" w14:textId="77777777" w:rsidR="00422FF6" w:rsidRDefault="00972D08" w:rsidP="00422FF6">
      <w:pPr>
        <w:pStyle w:val="Paragrafoelenco"/>
        <w:numPr>
          <w:ilvl w:val="0"/>
          <w:numId w:val="2"/>
        </w:numPr>
      </w:pPr>
      <w:r w:rsidRPr="00972D08">
        <w:t>Hutchins (1995</w:t>
      </w:r>
      <w:r>
        <w:t xml:space="preserve">) ricerca esplicitamente ciò che egli chiama </w:t>
      </w:r>
      <w:r w:rsidR="004C0E2D">
        <w:t xml:space="preserve">i </w:t>
      </w:r>
      <w:r>
        <w:t>“</w:t>
      </w:r>
      <w:r w:rsidR="004C0E2D">
        <w:t>s</w:t>
      </w:r>
      <w:r w:rsidR="004C0E2D" w:rsidRPr="004C0E2D">
        <w:t xml:space="preserve">istemi naturalmente situati di lavoro </w:t>
      </w:r>
      <w:r w:rsidR="004C0E2D" w:rsidRPr="00422FF6">
        <w:rPr>
          <w:i/>
          <w:iCs/>
        </w:rPr>
        <w:t>cooperativo</w:t>
      </w:r>
      <w:r w:rsidR="004C0E2D">
        <w:t>”</w:t>
      </w:r>
    </w:p>
    <w:p w14:paraId="68CDA514" w14:textId="7DAAE30B" w:rsidR="004C0E2D" w:rsidRDefault="004C0E2D" w:rsidP="00422FF6">
      <w:pPr>
        <w:pStyle w:val="Paragrafoelenco"/>
        <w:numPr>
          <w:ilvl w:val="0"/>
          <w:numId w:val="2"/>
        </w:numPr>
      </w:pPr>
      <w:proofErr w:type="spellStart"/>
      <w:r w:rsidRPr="00422FF6">
        <w:t>Hollan</w:t>
      </w:r>
      <w:proofErr w:type="spellEnd"/>
      <w:r w:rsidRPr="00422FF6">
        <w:t xml:space="preserve"> et al. </w:t>
      </w:r>
      <w:r w:rsidRPr="004C0E2D">
        <w:t>(2000)</w:t>
      </w:r>
      <w:r w:rsidRPr="004C0E2D">
        <w:t xml:space="preserve"> scrive che "nella cognizione d</w:t>
      </w:r>
      <w:r>
        <w:t>istribuita, ci si aspetta di trovare un sistema che</w:t>
      </w:r>
      <w:r w:rsidR="00422FF6">
        <w:t xml:space="preserve"> </w:t>
      </w:r>
      <w:r>
        <w:t xml:space="preserve">può configurarsi dinamicamente </w:t>
      </w:r>
      <w:r w:rsidR="00422FF6">
        <w:t xml:space="preserve">per </w:t>
      </w:r>
      <w:r w:rsidR="00422FF6" w:rsidRPr="00422FF6">
        <w:rPr>
          <w:i/>
          <w:iCs/>
        </w:rPr>
        <w:t>coordinare</w:t>
      </w:r>
      <w:r w:rsidR="00422FF6">
        <w:t xml:space="preserve"> sottosistemi al fine di svolgere varie funzioni”</w:t>
      </w:r>
    </w:p>
    <w:p w14:paraId="4D35A634" w14:textId="64A76BD4" w:rsidR="00422FF6" w:rsidRDefault="00422FF6" w:rsidP="00422FF6">
      <w:pPr>
        <w:pStyle w:val="Paragrafoelenco"/>
        <w:numPr>
          <w:ilvl w:val="0"/>
          <w:numId w:val="2"/>
        </w:numPr>
      </w:pPr>
      <w:r>
        <w:t xml:space="preserve">Clark (2003) sottolinea </w:t>
      </w:r>
      <w:r w:rsidR="00220EA2">
        <w:t>un “</w:t>
      </w:r>
      <w:r w:rsidR="00220EA2" w:rsidRPr="00220EA2">
        <w:t xml:space="preserve">approccio di 'partner uguali' in cui fattori corporei, ambientali e neurali </w:t>
      </w:r>
      <w:r w:rsidR="00220EA2" w:rsidRPr="00220EA2">
        <w:rPr>
          <w:i/>
          <w:iCs/>
        </w:rPr>
        <w:t>collaborano</w:t>
      </w:r>
      <w:r w:rsidR="00220EA2" w:rsidRPr="00220EA2">
        <w:t xml:space="preserve"> senza alcun controllo centrale per risolvere il problema</w:t>
      </w:r>
      <w:r w:rsidR="00220EA2">
        <w:t>”</w:t>
      </w:r>
    </w:p>
    <w:p w14:paraId="73DFD27C" w14:textId="4D49CD50" w:rsidR="00C61A3E" w:rsidRDefault="00220EA2" w:rsidP="00C67BC1">
      <w:pPr>
        <w:pStyle w:val="Paragrafoelenco"/>
        <w:numPr>
          <w:ilvl w:val="0"/>
          <w:numId w:val="2"/>
        </w:numPr>
      </w:pPr>
      <w:r w:rsidRPr="00220EA2">
        <w:t>Sutton et al. (2010)</w:t>
      </w:r>
      <w:r>
        <w:t xml:space="preserve"> discute “la </w:t>
      </w:r>
      <w:r w:rsidRPr="00220EA2">
        <w:rPr>
          <w:i/>
          <w:iCs/>
        </w:rPr>
        <w:t>cooperazione</w:t>
      </w:r>
      <w:r>
        <w:t xml:space="preserve"> di risorse interne ed esterne diverse ma complementari”</w:t>
      </w:r>
    </w:p>
    <w:p w14:paraId="3F9AB5BB" w14:textId="5DC45932" w:rsidR="008D4EBA" w:rsidRDefault="008D4EBA" w:rsidP="008D4EBA">
      <w:r>
        <w:t xml:space="preserve">Dunque se la cognizione 4E è considerata un concetto ontologico </w:t>
      </w:r>
      <w:r w:rsidR="000A201F">
        <w:t xml:space="preserve">che si riferisce a una struttura fondamentale dell’esistenza umana (la mente è intrecciata con altre entità) allora la cooperazione diventa un’affermazione empirica riguardante la presunta relazione tra queste entità. </w:t>
      </w:r>
      <w:r w:rsidR="000576E6">
        <w:t xml:space="preserve">Questo salto logico sembra essere naturale se analizziamo la pratica della cognizione distribuita: </w:t>
      </w:r>
      <w:r w:rsidR="008670B7">
        <w:t xml:space="preserve">durante la navigazione, i membri dell’equipaggio sono fortemente dipendenti l’uno dall’altro per garantire il successo della navigazione stessa. In queste situazioni, l’omuncolo cartesiano </w:t>
      </w:r>
      <w:r w:rsidR="00E7470A">
        <w:t>si materializza in un equipaggio socio-materiale che lavora in costante cooperazione. Nei sistemi socio-tecnici</w:t>
      </w:r>
      <w:r w:rsidR="00FD5F87">
        <w:t xml:space="preserve">, la coordinazione è empiricamente data. Il problema si crea quando questo fatto empirico ha pretese di diventare un assunto teorico a priori. </w:t>
      </w:r>
    </w:p>
    <w:p w14:paraId="13F8D9D5" w14:textId="77777777" w:rsidR="00575A56" w:rsidRDefault="00B07D9B" w:rsidP="008D4EBA">
      <w:r>
        <w:t xml:space="preserve">È infatti difficile trovare l’origine di questo a priori teorico. </w:t>
      </w:r>
    </w:p>
    <w:p w14:paraId="73936332" w14:textId="1C1F70F3" w:rsidR="00FD5F87" w:rsidRDefault="00B07D9B" w:rsidP="008D4EBA">
      <w:r>
        <w:t>Potremmo iniziare dal linguaggio organizzativo che pervade la teoria. Per esempio, Clark (2011</w:t>
      </w:r>
      <w:proofErr w:type="gramStart"/>
      <w:r>
        <w:t>)  argomento</w:t>
      </w:r>
      <w:proofErr w:type="gramEnd"/>
      <w:r>
        <w:t xml:space="preserve"> che la cognizione estesa sostituisce l’operatore esecutivo centrale </w:t>
      </w:r>
      <w:r w:rsidR="00575A56">
        <w:t>classico con “</w:t>
      </w:r>
      <w:r w:rsidR="00575A56" w:rsidRPr="00575A56">
        <w:t>un gruppo di mini-esecutivi in competizione o, meglio, maxi-assistenti senza nessuno da assistere</w:t>
      </w:r>
      <w:r w:rsidR="00575A56">
        <w:t xml:space="preserve">”. Clark </w:t>
      </w:r>
      <w:r w:rsidR="00C07F5F">
        <w:t xml:space="preserve">descrive il sistema cognitivo come un insieme dinamico di neuroni, abitudini, oggetti, che aiutano il sistema a svolgere determinati compiti. Questo linguaggio organizzativo riesce a superare l’omuncolo cartesiano, proponendo una leadership distribuita al suo posto, ma presuppone, senza giustificare, che </w:t>
      </w:r>
      <w:r w:rsidR="00901988">
        <w:t>tutte le entità lavorano cooperativamente per raggiungere un obbiettivo condiviso.</w:t>
      </w:r>
    </w:p>
    <w:p w14:paraId="70D3DF69" w14:textId="65E9B435" w:rsidR="00901988" w:rsidRDefault="00901988" w:rsidP="008D4EBA">
      <w:r>
        <w:t xml:space="preserve">Tale assunzione è stata criticata dai fenomenologici, in particolare da </w:t>
      </w:r>
      <w:proofErr w:type="spellStart"/>
      <w:r w:rsidRPr="00901988">
        <w:t>Selinger</w:t>
      </w:r>
      <w:proofErr w:type="spellEnd"/>
      <w:r w:rsidRPr="00901988">
        <w:t xml:space="preserve"> and </w:t>
      </w:r>
      <w:proofErr w:type="spellStart"/>
      <w:r w:rsidRPr="00901988">
        <w:t>Engström</w:t>
      </w:r>
      <w:proofErr w:type="spellEnd"/>
      <w:r w:rsidRPr="00901988">
        <w:t xml:space="preserve"> (2007)</w:t>
      </w:r>
      <w:r>
        <w:t xml:space="preserve"> che</w:t>
      </w:r>
      <w:r w:rsidR="00A115E9">
        <w:t xml:space="preserve"> mettono in discussione</w:t>
      </w:r>
      <w:r w:rsidR="00336E93">
        <w:t xml:space="preserve"> </w:t>
      </w:r>
      <w:r>
        <w:t>l’immagine del cyborg di Clar</w:t>
      </w:r>
      <w:r w:rsidR="00336E93">
        <w:t>k</w:t>
      </w:r>
      <w:r w:rsidR="00EC7887">
        <w:t xml:space="preserve"> e </w:t>
      </w:r>
      <w:r w:rsidR="00A115E9">
        <w:t>la</w:t>
      </w:r>
      <w:r w:rsidR="00EC7887">
        <w:t xml:space="preserve"> sua visione delle tecnologie come trasparenti </w:t>
      </w:r>
      <w:r w:rsidR="00A115E9">
        <w:t>e neutrali rispetto alla relazione uomo-mondo; gli artefatti tecnologici mediano le nostre azioni ed esperienze con il mondo</w:t>
      </w:r>
      <w:r w:rsidR="001E10A4">
        <w:rPr>
          <w:rStyle w:val="Rimandonotaapidipagina"/>
        </w:rPr>
        <w:footnoteReference w:id="11"/>
      </w:r>
      <w:r w:rsidR="001E10A4">
        <w:t xml:space="preserve"> e non si limitano semplicemente ad aiutare o potenziare le nostre capacità cognitive. </w:t>
      </w:r>
      <w:r w:rsidR="00A115E9">
        <w:t xml:space="preserve"> </w:t>
      </w:r>
      <w:r w:rsidR="001E10A4">
        <w:t>Dunque i processi cognitivi non sono tutti cooperativi, ma è necessario improntare la ricerca anche su situazioni di conflitto</w:t>
      </w:r>
      <w:r w:rsidR="00AF0E2D">
        <w:t xml:space="preserve"> e antagonismo, superando l’ottimismo tecnologico implicito </w:t>
      </w:r>
      <w:r w:rsidR="00887B49">
        <w:t>delle teorie della cognizione estesa e distribuita.</w:t>
      </w:r>
    </w:p>
    <w:p w14:paraId="6663EC60" w14:textId="4071147F" w:rsidR="00887B49" w:rsidRDefault="00096754" w:rsidP="008D4EBA">
      <w:r>
        <w:t>A partire da Clark e Hutchins, il</w:t>
      </w:r>
      <w:r w:rsidR="00887B49">
        <w:t xml:space="preserve"> dogma dell’armonia </w:t>
      </w:r>
      <w:r>
        <w:t>è stato adottato implicitamente dall’intera letteratura 4E: le relazioni tra umani e tecnologie sono sempre state descritte in termini di armonia, supporto e potenziamento cognitivo</w:t>
      </w:r>
      <w:r>
        <w:rPr>
          <w:rStyle w:val="Rimandonotaapidipagina"/>
        </w:rPr>
        <w:footnoteReference w:id="12"/>
      </w:r>
      <w:r w:rsidR="000465BC">
        <w:t xml:space="preserve">. </w:t>
      </w:r>
    </w:p>
    <w:p w14:paraId="33E1A0AA" w14:textId="7E747676" w:rsidR="000465BC" w:rsidRDefault="000465BC" w:rsidP="008D4EBA">
      <w:r>
        <w:t>L’immagine promossa dal paradigma attuale è dunque quella di una cooperazione armonica tra umani e tecnologie che lavorano insieme per raggiungere scopi comuni</w:t>
      </w:r>
      <w:r w:rsidR="00964576">
        <w:t>: questo è il dogma dell’armonia.</w:t>
      </w:r>
    </w:p>
    <w:p w14:paraId="3C821920" w14:textId="67E6630C" w:rsidR="00AF0E2D" w:rsidRDefault="00FF2730" w:rsidP="008D4EBA">
      <w:r>
        <w:lastRenderedPageBreak/>
        <w:t xml:space="preserve">Una delle principali conseguenze problematiche del dogma dell’armonia </w:t>
      </w:r>
      <w:r w:rsidR="006017C0">
        <w:t>è quella di non lasciare spazio all’analisi degli “accoppiamenti antagonistici”</w:t>
      </w:r>
      <w:r w:rsidR="006017C0">
        <w:rPr>
          <w:rStyle w:val="Rimandonotaapidipagina"/>
        </w:rPr>
        <w:footnoteReference w:id="13"/>
      </w:r>
      <w:r w:rsidR="006017C0">
        <w:t xml:space="preserve"> tra umani e tecnologie</w:t>
      </w:r>
      <w:r w:rsidR="000E22A4">
        <w:t xml:space="preserve">; il dogma non consente di </w:t>
      </w:r>
      <w:r w:rsidR="0031461F">
        <w:t>cogliere fenomeni potenzialmente critici della cognizione 4E</w:t>
      </w:r>
      <w:r w:rsidR="00986850">
        <w:t>, quali il fenomeno delle cattive abitudini, e quello della perdita di competenze. I due fenomeni</w:t>
      </w:r>
      <w:r w:rsidR="00D218FC">
        <w:t xml:space="preserve">, </w:t>
      </w:r>
      <w:r w:rsidR="00424F53">
        <w:t>di relazione umano-tecnologia conflittuale,</w:t>
      </w:r>
      <w:r w:rsidR="00986850">
        <w:t xml:space="preserve"> </w:t>
      </w:r>
      <w:r w:rsidR="00424F53">
        <w:t>vengono</w:t>
      </w:r>
      <w:r w:rsidR="00986850">
        <w:t xml:space="preserve"> </w:t>
      </w:r>
      <w:r w:rsidR="00424F53">
        <w:t xml:space="preserve">analizzati da </w:t>
      </w:r>
      <w:r w:rsidR="00424F53" w:rsidRPr="00424F53">
        <w:t>A</w:t>
      </w:r>
      <w:r w:rsidR="00424F53">
        <w:t xml:space="preserve">agaard con l’intento di </w:t>
      </w:r>
      <w:r w:rsidR="00D218FC">
        <w:t>eliminare il dogma dell’armonia nella ricerca 4E.</w:t>
      </w:r>
    </w:p>
    <w:p w14:paraId="5B6D3B4C" w14:textId="0FA1532E" w:rsidR="00137DA2" w:rsidRDefault="00EC446A" w:rsidP="008D4EBA">
      <w:r>
        <w:t>Le cattive abitudini che la tecnologia ci può arrecare sono molteplici: esse sfidano il nostro autocontrollo, ci rubano l’attenzione, e ci fanno agire contro i nostri valori personali. Il fenomeno chiamato “</w:t>
      </w:r>
      <w:proofErr w:type="spellStart"/>
      <w:r>
        <w:t>akrasia</w:t>
      </w:r>
      <w:proofErr w:type="spellEnd"/>
      <w:r>
        <w:t xml:space="preserve"> digitale” può essere </w:t>
      </w:r>
      <w:r w:rsidR="00137DA2" w:rsidRPr="00137DA2">
        <w:t>definito come la tendenza a lasciarsi trasportare dai propri dispositivi digitali nonostante le migliori intenzioni</w:t>
      </w:r>
      <w:r w:rsidR="00137DA2">
        <w:t>.</w:t>
      </w:r>
    </w:p>
    <w:p w14:paraId="4AB47B60" w14:textId="34DD1E2C" w:rsidR="00800DFC" w:rsidRDefault="00137DA2" w:rsidP="00800DFC">
      <w:r>
        <w:t>Se l’</w:t>
      </w:r>
      <w:proofErr w:type="spellStart"/>
      <w:r>
        <w:t>akarasia</w:t>
      </w:r>
      <w:proofErr w:type="spellEnd"/>
      <w:r>
        <w:t xml:space="preserve"> digitale non impatta il paradigma 4E, il fenomeno del depotenziamento delle competenze invece smentisce un assunto fondamentale della ricerca 4E: quello per cui </w:t>
      </w:r>
      <w:r w:rsidR="00E37EED">
        <w:t xml:space="preserve">le tecnologie aiutano e potenziano le nostre capacità cognitive. </w:t>
      </w:r>
      <w:r w:rsidR="00E37EED" w:rsidRPr="00454753">
        <w:t>Recentemente</w:t>
      </w:r>
      <w:r w:rsidR="00454753">
        <w:t xml:space="preserve"> però</w:t>
      </w:r>
      <w:r w:rsidR="00E37EED" w:rsidRPr="00454753">
        <w:t xml:space="preserve"> </w:t>
      </w:r>
      <w:proofErr w:type="spellStart"/>
      <w:r w:rsidR="00E37EED" w:rsidRPr="00454753">
        <w:t>Frischmann</w:t>
      </w:r>
      <w:proofErr w:type="spellEnd"/>
      <w:r w:rsidR="00E37EED" w:rsidRPr="00454753">
        <w:t xml:space="preserve"> and </w:t>
      </w:r>
      <w:proofErr w:type="spellStart"/>
      <w:r w:rsidR="00E37EED" w:rsidRPr="00454753">
        <w:t>Selinger</w:t>
      </w:r>
      <w:proofErr w:type="spellEnd"/>
      <w:r w:rsidR="00E37EED" w:rsidRPr="00454753">
        <w:t xml:space="preserve"> (2018)</w:t>
      </w:r>
      <w:r w:rsidR="00E37EED" w:rsidRPr="00454753">
        <w:t xml:space="preserve">, hanno coniato il termine “outsourcing” </w:t>
      </w:r>
      <w:r w:rsidR="00454753" w:rsidRPr="00454753">
        <w:t>per indicare l’</w:t>
      </w:r>
      <w:r w:rsidR="00454753">
        <w:t>indebolimento di quelle stesse capacità</w:t>
      </w:r>
      <w:r w:rsidR="00FE2D0E">
        <w:t>: al contrario di quanto affermato dalla letteratura 4E, l’ingegneria tecno-sociale include l’automazione e la perdita di competenze. Ad esempio, quando usiamo il GPS scarichiamo il compito della navigazione su un artefatto tecnologico</w:t>
      </w:r>
      <w:r w:rsidR="00DD02B0">
        <w:t xml:space="preserve"> e questa automatizzazione ci rende passivi riducendo la nostra </w:t>
      </w:r>
      <w:proofErr w:type="spellStart"/>
      <w:r w:rsidR="00DD02B0">
        <w:t>agenzialità</w:t>
      </w:r>
      <w:proofErr w:type="spellEnd"/>
      <w:r w:rsidR="00DD02B0">
        <w:t xml:space="preserve">. </w:t>
      </w:r>
    </w:p>
    <w:p w14:paraId="73BA0E5E" w14:textId="77777777" w:rsidR="00800DFC" w:rsidRDefault="00800DFC" w:rsidP="00800DFC"/>
    <w:p w14:paraId="2532E3EC" w14:textId="1E7FE21D" w:rsidR="00800DFC" w:rsidRDefault="002A0503" w:rsidP="00800DFC">
      <w:r>
        <w:t>In conclusione, la mente si estende nel mondo, ma la ricerca 4E deve meglio indagare come ciò avviene: gli approcci più recenti iniziano a sfidare sempre più l’attuale paradigma di una relazione armoniosa tra umani e tecnologie, ciò che Aagaard ha definito come il “dogma dell’armonia”</w:t>
      </w:r>
      <w:r w:rsidR="00900869">
        <w:t>; è necessario aprire uno spazio teorico nella futura ricerca 4E, che consenta di discutere e analizzare anche le relazioni conflittuali</w:t>
      </w:r>
      <w:r>
        <w:t xml:space="preserve"> </w:t>
      </w:r>
      <w:r w:rsidR="00900869">
        <w:t xml:space="preserve">che avvengono tra umani e tecnologie. </w:t>
      </w:r>
    </w:p>
    <w:p w14:paraId="18B502A5" w14:textId="39E68912" w:rsidR="00900869" w:rsidRPr="00454753" w:rsidRDefault="00900869" w:rsidP="00800DFC">
      <w:r>
        <w:t>Già Clark, nel 2002 scriveva: “I</w:t>
      </w:r>
      <w:r w:rsidRPr="00900869">
        <w:t xml:space="preserve">l compito più importante, mi sembra, è comprendere meglio la gamma e la varietà dei tipi di impalcature cognitive e i diversi modi in cui le impalcature non biologiche possono aumentare (o </w:t>
      </w:r>
      <w:r w:rsidRPr="00673816">
        <w:rPr>
          <w:i/>
          <w:iCs/>
        </w:rPr>
        <w:t>compromettere</w:t>
      </w:r>
      <w:r w:rsidRPr="00900869">
        <w:t>) le prestazioni in un compito"</w:t>
      </w:r>
      <w:r w:rsidR="00673816">
        <w:t>. Solo due decenni dopo, quel termine “compromettere”, ignorato da tutta la letteratura 4E e da Clark stesso, come denuncia</w:t>
      </w:r>
      <w:r w:rsidR="00630566">
        <w:t>to da</w:t>
      </w:r>
      <w:r w:rsidR="00673816">
        <w:t xml:space="preserve"> Aa</w:t>
      </w:r>
      <w:r w:rsidR="00630566">
        <w:t>gaard,</w:t>
      </w:r>
      <w:r w:rsidR="00673816">
        <w:t xml:space="preserve"> ha catturato l’attenzione </w:t>
      </w:r>
      <w:r w:rsidR="00630566">
        <w:t xml:space="preserve">dei nuovissimi indirizzi di ricerca che, seppur non contrapponendosi agli assunti fondamentali della cognizione 4E, hanno iniziato ad improntare la ricerca anche verso fenomeni quali </w:t>
      </w:r>
      <w:r w:rsidR="00B71178">
        <w:t xml:space="preserve">il </w:t>
      </w:r>
      <w:proofErr w:type="spellStart"/>
      <w:r w:rsidR="00630566">
        <w:t>Hostile</w:t>
      </w:r>
      <w:proofErr w:type="spellEnd"/>
      <w:r w:rsidR="00630566">
        <w:t xml:space="preserve"> Cognitive </w:t>
      </w:r>
      <w:proofErr w:type="spellStart"/>
      <w:r w:rsidR="00630566">
        <w:t>Scaffolding</w:t>
      </w:r>
      <w:proofErr w:type="spellEnd"/>
      <w:r w:rsidR="00B71178">
        <w:t xml:space="preserve"> </w:t>
      </w:r>
      <w:r w:rsidR="00630566">
        <w:rPr>
          <w:rStyle w:val="Rimandonotaapidipagina"/>
        </w:rPr>
        <w:footnoteReference w:id="14"/>
      </w:r>
      <w:r w:rsidR="00B71178">
        <w:t xml:space="preserve"> e il</w:t>
      </w:r>
      <w:r w:rsidR="00B71178" w:rsidRPr="00B71178">
        <w:t xml:space="preserve"> </w:t>
      </w:r>
      <w:proofErr w:type="spellStart"/>
      <w:r w:rsidR="00B71178" w:rsidRPr="00B71178">
        <w:t>diminishment</w:t>
      </w:r>
      <w:proofErr w:type="spellEnd"/>
      <w:r w:rsidR="00B71178" w:rsidRPr="00B71178">
        <w:t xml:space="preserve"> </w:t>
      </w:r>
      <w:r w:rsidR="00B71178">
        <w:rPr>
          <w:rStyle w:val="Rimandonotaapidipagina"/>
        </w:rPr>
        <w:footnoteReference w:id="15"/>
      </w:r>
      <w:r w:rsidR="00E676A4">
        <w:t xml:space="preserve">, nuove frontiere di ricerca rese possibili anche dalle recenti applicazioni di Generative IA. </w:t>
      </w:r>
    </w:p>
    <w:p w14:paraId="7068CBC5" w14:textId="77777777" w:rsidR="001E10A4" w:rsidRPr="00454753" w:rsidRDefault="001E10A4" w:rsidP="008D4EBA"/>
    <w:p w14:paraId="249F2965" w14:textId="77777777" w:rsidR="00901988" w:rsidRPr="00454753" w:rsidRDefault="00901988" w:rsidP="008D4EBA"/>
    <w:p w14:paraId="66E59B40" w14:textId="77777777" w:rsidR="002C1FD7" w:rsidRPr="00454753" w:rsidRDefault="002C1FD7" w:rsidP="00C67BC1"/>
    <w:p w14:paraId="605B13F0" w14:textId="77777777" w:rsidR="00C17236" w:rsidRPr="00454753" w:rsidRDefault="00C17236" w:rsidP="00C17236"/>
    <w:p w14:paraId="1AB5E6A8" w14:textId="77777777" w:rsidR="008E5C6B" w:rsidRPr="00454753" w:rsidRDefault="008E5C6B" w:rsidP="008E5C6B">
      <w:pPr>
        <w:ind w:left="360"/>
      </w:pPr>
    </w:p>
    <w:p w14:paraId="40334A92" w14:textId="77777777" w:rsidR="00565AD0" w:rsidRPr="00454753" w:rsidRDefault="00565AD0"/>
    <w:p w14:paraId="7C142207" w14:textId="77777777" w:rsidR="00AF2841" w:rsidRPr="00454753" w:rsidRDefault="00AF2841"/>
    <w:sectPr w:rsidR="00AF2841" w:rsidRPr="0045475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7708E1" w14:textId="77777777" w:rsidR="001B015D" w:rsidRDefault="001B015D" w:rsidP="00AF2841">
      <w:pPr>
        <w:spacing w:after="0" w:line="240" w:lineRule="auto"/>
      </w:pPr>
      <w:r>
        <w:separator/>
      </w:r>
    </w:p>
  </w:endnote>
  <w:endnote w:type="continuationSeparator" w:id="0">
    <w:p w14:paraId="02B570B5" w14:textId="77777777" w:rsidR="001B015D" w:rsidRDefault="001B015D" w:rsidP="00AF28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03D7F7A" w14:textId="77777777" w:rsidR="001B015D" w:rsidRDefault="001B015D" w:rsidP="00AF2841">
      <w:pPr>
        <w:spacing w:after="0" w:line="240" w:lineRule="auto"/>
      </w:pPr>
      <w:r>
        <w:separator/>
      </w:r>
    </w:p>
  </w:footnote>
  <w:footnote w:type="continuationSeparator" w:id="0">
    <w:p w14:paraId="60FABF3E" w14:textId="77777777" w:rsidR="001B015D" w:rsidRDefault="001B015D" w:rsidP="00AF2841">
      <w:pPr>
        <w:spacing w:after="0" w:line="240" w:lineRule="auto"/>
      </w:pPr>
      <w:r>
        <w:continuationSeparator/>
      </w:r>
    </w:p>
  </w:footnote>
  <w:footnote w:id="1">
    <w:p w14:paraId="2A1033D8" w14:textId="04CF9713" w:rsidR="00AF2841" w:rsidRPr="00AF2841" w:rsidRDefault="00AF2841">
      <w:pPr>
        <w:pStyle w:val="Testonotaapidipagina"/>
        <w:rPr>
          <w:lang w:val="en-US"/>
        </w:rPr>
      </w:pPr>
      <w:r>
        <w:rPr>
          <w:rStyle w:val="Rimandonotaapidipagina"/>
        </w:rPr>
        <w:footnoteRef/>
      </w:r>
      <w:r w:rsidRPr="00AF2841">
        <w:rPr>
          <w:lang w:val="en-US"/>
        </w:rPr>
        <w:t xml:space="preserve"> </w:t>
      </w:r>
      <w:r w:rsidRPr="007605C9">
        <w:rPr>
          <w:i/>
          <w:iCs/>
          <w:lang w:val="en-US"/>
        </w:rPr>
        <w:t xml:space="preserve">On Computable Numbers, with an Application to the </w:t>
      </w:r>
      <w:proofErr w:type="spellStart"/>
      <w:r w:rsidRPr="007605C9">
        <w:rPr>
          <w:i/>
          <w:iCs/>
          <w:lang w:val="en-US"/>
        </w:rPr>
        <w:t>Entscheidungsproblem</w:t>
      </w:r>
      <w:proofErr w:type="spellEnd"/>
      <w:r w:rsidRPr="007605C9">
        <w:rPr>
          <w:i/>
          <w:iCs/>
          <w:lang w:val="en-US"/>
        </w:rPr>
        <w:t xml:space="preserve">, </w:t>
      </w:r>
      <w:r w:rsidR="00D37F65">
        <w:rPr>
          <w:lang w:val="en-US"/>
        </w:rPr>
        <w:t>Alan Turing, 1936</w:t>
      </w:r>
    </w:p>
  </w:footnote>
  <w:footnote w:id="2">
    <w:p w14:paraId="15AB2A54" w14:textId="7896752F" w:rsidR="007605C9" w:rsidRPr="007605C9" w:rsidRDefault="007605C9">
      <w:pPr>
        <w:pStyle w:val="Testonotaapidipagina"/>
        <w:rPr>
          <w:lang w:val="en-US"/>
        </w:rPr>
      </w:pPr>
      <w:r>
        <w:rPr>
          <w:rStyle w:val="Rimandonotaapidipagina"/>
        </w:rPr>
        <w:footnoteRef/>
      </w:r>
      <w:r w:rsidRPr="007605C9">
        <w:rPr>
          <w:lang w:val="en-US"/>
        </w:rPr>
        <w:t xml:space="preserve"> </w:t>
      </w:r>
      <w:r w:rsidRPr="007605C9">
        <w:rPr>
          <w:i/>
          <w:iCs/>
          <w:lang w:val="en-US"/>
        </w:rPr>
        <w:t>Sandwich Model of Cognition</w:t>
      </w:r>
      <w:r>
        <w:rPr>
          <w:i/>
          <w:iCs/>
          <w:lang w:val="en-US"/>
        </w:rPr>
        <w:t xml:space="preserve">, </w:t>
      </w:r>
      <w:r w:rsidRPr="007605C9">
        <w:rPr>
          <w:lang w:val="en-US"/>
        </w:rPr>
        <w:t>Susan Hurley, 1990s</w:t>
      </w:r>
    </w:p>
  </w:footnote>
  <w:footnote w:id="3">
    <w:p w14:paraId="45916EDB" w14:textId="57ABE492" w:rsidR="00A978A6" w:rsidRDefault="00A978A6" w:rsidP="00A978A6">
      <w:pPr>
        <w:pStyle w:val="Testonotaapidipagina"/>
      </w:pPr>
      <w:r>
        <w:rPr>
          <w:rStyle w:val="Rimandonotaapidipagina"/>
        </w:rPr>
        <w:footnoteRef/>
      </w:r>
      <w:r>
        <w:t xml:space="preserve"> </w:t>
      </w:r>
      <w:r>
        <w:t>Wittgenstein,</w:t>
      </w:r>
      <w:r>
        <w:t xml:space="preserve"> </w:t>
      </w:r>
      <w:r>
        <w:t>1967, §605 f</w:t>
      </w:r>
    </w:p>
  </w:footnote>
  <w:footnote w:id="4">
    <w:p w14:paraId="2A9CBE1E" w14:textId="5B0A9F06" w:rsidR="0029639C" w:rsidRDefault="0029639C">
      <w:pPr>
        <w:pStyle w:val="Testonotaapidipagina"/>
      </w:pPr>
      <w:r>
        <w:rPr>
          <w:rStyle w:val="Rimandonotaapidipagina"/>
        </w:rPr>
        <w:footnoteRef/>
      </w:r>
      <w:r>
        <w:t xml:space="preserve"> </w:t>
      </w:r>
      <w:proofErr w:type="spellStart"/>
      <w:r>
        <w:t>Neisser</w:t>
      </w:r>
      <w:proofErr w:type="spellEnd"/>
      <w:r>
        <w:t>, 1978 (p.4)</w:t>
      </w:r>
    </w:p>
  </w:footnote>
  <w:footnote w:id="5">
    <w:p w14:paraId="7C14B537" w14:textId="71AA7D44" w:rsidR="00B80A05" w:rsidRDefault="00B80A05">
      <w:pPr>
        <w:pStyle w:val="Testonotaapidipagina"/>
      </w:pPr>
      <w:r>
        <w:rPr>
          <w:rStyle w:val="Rimandonotaapidipagina"/>
        </w:rPr>
        <w:footnoteRef/>
      </w:r>
      <w:r>
        <w:t xml:space="preserve"> Esempio significativo di questo fenomeno è dato da </w:t>
      </w:r>
      <w:r w:rsidRPr="00B80A05">
        <w:t>Sutton et al</w:t>
      </w:r>
      <w:proofErr w:type="gramStart"/>
      <w:r w:rsidRPr="00B80A05">
        <w:t xml:space="preserve">. </w:t>
      </w:r>
      <w:r w:rsidR="00C86317">
        <w:t>,</w:t>
      </w:r>
      <w:proofErr w:type="gramEnd"/>
      <w:r w:rsidR="00C86317">
        <w:t xml:space="preserve"> </w:t>
      </w:r>
      <w:r w:rsidRPr="00B80A05">
        <w:t>2010</w:t>
      </w:r>
      <w:r w:rsidR="00C86317">
        <w:t xml:space="preserve"> (p. 522): una coppia sposata da molti anni sviluppa un sistema di memoria condiviso, in cui uno ricorda grazie alle informazioni dell’altro. </w:t>
      </w:r>
    </w:p>
  </w:footnote>
  <w:footnote w:id="6">
    <w:p w14:paraId="229D13B3" w14:textId="4000BA85" w:rsidR="006564F4" w:rsidRDefault="006564F4" w:rsidP="006564F4">
      <w:pPr>
        <w:pStyle w:val="Testonotaapidipagina"/>
      </w:pPr>
      <w:r>
        <w:rPr>
          <w:rStyle w:val="Rimandonotaapidipagina"/>
        </w:rPr>
        <w:footnoteRef/>
      </w:r>
      <w:r>
        <w:t xml:space="preserve"> </w:t>
      </w:r>
      <w:proofErr w:type="spellStart"/>
      <w:r>
        <w:t>Tylén</w:t>
      </w:r>
      <w:proofErr w:type="spellEnd"/>
      <w:r>
        <w:t xml:space="preserve"> &amp;</w:t>
      </w:r>
      <w:r>
        <w:t xml:space="preserve"> </w:t>
      </w:r>
      <w:r>
        <w:t>McGraw, 2014</w:t>
      </w:r>
    </w:p>
  </w:footnote>
  <w:footnote w:id="7">
    <w:p w14:paraId="59397DF6" w14:textId="2C36E889" w:rsidR="001249D0" w:rsidRDefault="001249D0">
      <w:pPr>
        <w:pStyle w:val="Testonotaapidipagina"/>
      </w:pPr>
      <w:r>
        <w:rPr>
          <w:rStyle w:val="Rimandonotaapidipagina"/>
        </w:rPr>
        <w:footnoteRef/>
      </w:r>
      <w:r>
        <w:t xml:space="preserve"> </w:t>
      </w:r>
      <w:r w:rsidRPr="001249D0">
        <w:t>Sutton et al., 2010</w:t>
      </w:r>
      <w:r>
        <w:t xml:space="preserve"> (</w:t>
      </w:r>
      <w:r w:rsidRPr="001249D0">
        <w:t>p. 525).</w:t>
      </w:r>
    </w:p>
  </w:footnote>
  <w:footnote w:id="8">
    <w:p w14:paraId="29FDDB54" w14:textId="7284C3CB" w:rsidR="00735BCA" w:rsidRDefault="00735BCA">
      <w:pPr>
        <w:pStyle w:val="Testonotaapidipagina"/>
      </w:pPr>
      <w:r>
        <w:rPr>
          <w:rStyle w:val="Rimandonotaapidipagina"/>
        </w:rPr>
        <w:footnoteRef/>
      </w:r>
      <w:r>
        <w:t xml:space="preserve"> Possibilità di azione che un oggetto offre. Concetto sviluppato da Gibson, </w:t>
      </w:r>
      <w:r w:rsidRPr="00735BCA">
        <w:rPr>
          <w:i/>
          <w:iCs/>
        </w:rPr>
        <w:t xml:space="preserve">The </w:t>
      </w:r>
      <w:proofErr w:type="spellStart"/>
      <w:r w:rsidRPr="00735BCA">
        <w:rPr>
          <w:i/>
          <w:iCs/>
        </w:rPr>
        <w:t>Ecological</w:t>
      </w:r>
      <w:proofErr w:type="spellEnd"/>
      <w:r w:rsidRPr="00735BCA">
        <w:rPr>
          <w:i/>
          <w:iCs/>
        </w:rPr>
        <w:t xml:space="preserve"> </w:t>
      </w:r>
      <w:proofErr w:type="spellStart"/>
      <w:r w:rsidRPr="00735BCA">
        <w:rPr>
          <w:i/>
          <w:iCs/>
        </w:rPr>
        <w:t>Approach</w:t>
      </w:r>
      <w:proofErr w:type="spellEnd"/>
      <w:r w:rsidRPr="00735BCA">
        <w:rPr>
          <w:i/>
          <w:iCs/>
        </w:rPr>
        <w:t xml:space="preserve"> to Visual </w:t>
      </w:r>
      <w:proofErr w:type="spellStart"/>
      <w:r w:rsidRPr="00735BCA">
        <w:rPr>
          <w:i/>
          <w:iCs/>
        </w:rPr>
        <w:t>Perception</w:t>
      </w:r>
      <w:proofErr w:type="spellEnd"/>
      <w:r>
        <w:t xml:space="preserve"> (1979)</w:t>
      </w:r>
    </w:p>
  </w:footnote>
  <w:footnote w:id="9">
    <w:p w14:paraId="2EA61B37" w14:textId="6EE055DC" w:rsidR="0096126E" w:rsidRDefault="0096126E">
      <w:pPr>
        <w:pStyle w:val="Testonotaapidipagina"/>
      </w:pPr>
      <w:r>
        <w:rPr>
          <w:rStyle w:val="Rimandonotaapidipagina"/>
        </w:rPr>
        <w:footnoteRef/>
      </w:r>
      <w:r>
        <w:t xml:space="preserve"> </w:t>
      </w:r>
      <w:r w:rsidRPr="0096126E">
        <w:t>Dreyfus (2002)</w:t>
      </w:r>
    </w:p>
  </w:footnote>
  <w:footnote w:id="10">
    <w:p w14:paraId="1E1AED5E" w14:textId="34BB8F6C" w:rsidR="007F6D84" w:rsidRPr="007F6D84" w:rsidRDefault="007F6D84">
      <w:pPr>
        <w:pStyle w:val="Testonotaapidipagina"/>
        <w:rPr>
          <w:lang w:val="en-US"/>
        </w:rPr>
      </w:pPr>
      <w:r>
        <w:rPr>
          <w:rStyle w:val="Rimandonotaapidipagina"/>
        </w:rPr>
        <w:footnoteRef/>
      </w:r>
      <w:r w:rsidRPr="007F6D84">
        <w:rPr>
          <w:lang w:val="en-US"/>
        </w:rPr>
        <w:t xml:space="preserve"> </w:t>
      </w:r>
      <w:r w:rsidRPr="007F6D84">
        <w:rPr>
          <w:lang w:val="en-US"/>
        </w:rPr>
        <w:t>Department of Psychology and Behavioral Sciences, Aarhus University, Aarhus, Denmark</w:t>
      </w:r>
    </w:p>
  </w:footnote>
  <w:footnote w:id="11">
    <w:p w14:paraId="66F28620" w14:textId="74729C07" w:rsidR="001E10A4" w:rsidRDefault="001E10A4">
      <w:pPr>
        <w:pStyle w:val="Testonotaapidipagina"/>
      </w:pPr>
      <w:r>
        <w:rPr>
          <w:rStyle w:val="Rimandonotaapidipagina"/>
        </w:rPr>
        <w:footnoteRef/>
      </w:r>
      <w:r>
        <w:t xml:space="preserve"> </w:t>
      </w:r>
      <w:r w:rsidRPr="001E10A4">
        <w:t>Verbeek, 2005</w:t>
      </w:r>
    </w:p>
  </w:footnote>
  <w:footnote w:id="12">
    <w:p w14:paraId="2BD69721" w14:textId="1F196D6B" w:rsidR="00096754" w:rsidRPr="00096754" w:rsidRDefault="00096754">
      <w:pPr>
        <w:pStyle w:val="Testonotaapidipagina"/>
        <w:rPr>
          <w:lang w:val="en-US"/>
        </w:rPr>
      </w:pPr>
      <w:r>
        <w:rPr>
          <w:rStyle w:val="Rimandonotaapidipagina"/>
        </w:rPr>
        <w:footnoteRef/>
      </w:r>
      <w:r w:rsidRPr="00096754">
        <w:rPr>
          <w:lang w:val="en-US"/>
        </w:rPr>
        <w:t xml:space="preserve"> </w:t>
      </w:r>
      <w:proofErr w:type="spellStart"/>
      <w:r w:rsidRPr="00096754">
        <w:rPr>
          <w:lang w:val="en-US"/>
        </w:rPr>
        <w:t>Tylén</w:t>
      </w:r>
      <w:proofErr w:type="spellEnd"/>
      <w:r w:rsidRPr="00096754">
        <w:rPr>
          <w:lang w:val="en-US"/>
        </w:rPr>
        <w:t xml:space="preserve"> &amp; McGraw</w:t>
      </w:r>
      <w:r>
        <w:rPr>
          <w:lang w:val="en-US"/>
        </w:rPr>
        <w:t xml:space="preserve"> (</w:t>
      </w:r>
      <w:r w:rsidRPr="00096754">
        <w:rPr>
          <w:lang w:val="en-US"/>
        </w:rPr>
        <w:t>2014)</w:t>
      </w:r>
      <w:r>
        <w:rPr>
          <w:lang w:val="en-US"/>
        </w:rPr>
        <w:t xml:space="preserve">, </w:t>
      </w:r>
      <w:r w:rsidRPr="00096754">
        <w:rPr>
          <w:lang w:val="en-US"/>
        </w:rPr>
        <w:t>Fiore &amp; Wiltshire</w:t>
      </w:r>
      <w:r>
        <w:rPr>
          <w:lang w:val="en-US"/>
        </w:rPr>
        <w:t xml:space="preserve"> (</w:t>
      </w:r>
      <w:r w:rsidRPr="00096754">
        <w:rPr>
          <w:lang w:val="en-US"/>
        </w:rPr>
        <w:t>2016)</w:t>
      </w:r>
      <w:r>
        <w:rPr>
          <w:lang w:val="en-US"/>
        </w:rPr>
        <w:t>,</w:t>
      </w:r>
      <w:r w:rsidRPr="00096754">
        <w:rPr>
          <w:lang w:val="en-US"/>
        </w:rPr>
        <w:t xml:space="preserve"> </w:t>
      </w:r>
      <w:r w:rsidRPr="00096754">
        <w:rPr>
          <w:lang w:val="en-US"/>
        </w:rPr>
        <w:t>Kirsh (2019)</w:t>
      </w:r>
      <w:r w:rsidR="000465BC">
        <w:rPr>
          <w:lang w:val="en-US"/>
        </w:rPr>
        <w:t xml:space="preserve"> etc.</w:t>
      </w:r>
    </w:p>
  </w:footnote>
  <w:footnote w:id="13">
    <w:p w14:paraId="58E4BDC6" w14:textId="5E6CE463" w:rsidR="006017C0" w:rsidRDefault="006017C0">
      <w:pPr>
        <w:pStyle w:val="Testonotaapidipagina"/>
      </w:pPr>
      <w:r>
        <w:rPr>
          <w:rStyle w:val="Rimandonotaapidipagina"/>
        </w:rPr>
        <w:footnoteRef/>
      </w:r>
      <w:r>
        <w:t xml:space="preserve"> </w:t>
      </w:r>
      <w:r w:rsidRPr="006017C0">
        <w:t xml:space="preserve">De </w:t>
      </w:r>
      <w:proofErr w:type="spellStart"/>
      <w:r w:rsidRPr="006017C0">
        <w:t>Poel</w:t>
      </w:r>
      <w:proofErr w:type="spellEnd"/>
      <w:r w:rsidRPr="006017C0">
        <w:t>, 2016</w:t>
      </w:r>
    </w:p>
  </w:footnote>
  <w:footnote w:id="14">
    <w:p w14:paraId="4B72865D" w14:textId="12985D14" w:rsidR="00630566" w:rsidRDefault="00630566">
      <w:pPr>
        <w:pStyle w:val="Testonotaapidipagina"/>
      </w:pPr>
      <w:r>
        <w:rPr>
          <w:rStyle w:val="Rimandonotaapidipagina"/>
        </w:rPr>
        <w:footnoteRef/>
      </w:r>
      <w:r>
        <w:t xml:space="preserve"> </w:t>
      </w:r>
      <w:proofErr w:type="spellStart"/>
      <w:r w:rsidRPr="00630566">
        <w:t>Timms</w:t>
      </w:r>
      <w:proofErr w:type="spellEnd"/>
      <w:r w:rsidRPr="00630566">
        <w:t xml:space="preserve"> e </w:t>
      </w:r>
      <w:proofErr w:type="spellStart"/>
      <w:r w:rsidRPr="00630566">
        <w:t>Spurrett</w:t>
      </w:r>
      <w:proofErr w:type="spellEnd"/>
      <w:r w:rsidRPr="00630566">
        <w:t xml:space="preserve"> </w:t>
      </w:r>
      <w:r>
        <w:t>(</w:t>
      </w:r>
      <w:r w:rsidRPr="00630566">
        <w:t>2023</w:t>
      </w:r>
      <w:r>
        <w:t>)</w:t>
      </w:r>
    </w:p>
  </w:footnote>
  <w:footnote w:id="15">
    <w:p w14:paraId="4A652C74" w14:textId="181A0227" w:rsidR="00B71178" w:rsidRPr="00B71178" w:rsidRDefault="00B71178">
      <w:pPr>
        <w:pStyle w:val="Testonotaapidipagina"/>
        <w:rPr>
          <w:lang w:val="en-US"/>
        </w:rPr>
      </w:pPr>
      <w:r>
        <w:rPr>
          <w:rStyle w:val="Rimandonotaapidipagina"/>
        </w:rPr>
        <w:footnoteRef/>
      </w:r>
      <w:r w:rsidRPr="00B71178">
        <w:rPr>
          <w:lang w:val="en-US"/>
        </w:rPr>
        <w:t xml:space="preserve"> </w:t>
      </w:r>
      <w:proofErr w:type="spellStart"/>
      <w:r w:rsidRPr="00B71178">
        <w:rPr>
          <w:lang w:val="en-US"/>
        </w:rPr>
        <w:t>Esempi</w:t>
      </w:r>
      <w:proofErr w:type="spellEnd"/>
      <w:r w:rsidRPr="00B71178">
        <w:rPr>
          <w:lang w:val="en-US"/>
        </w:rPr>
        <w:t xml:space="preserve"> di diminishment </w:t>
      </w:r>
      <w:proofErr w:type="spellStart"/>
      <w:r w:rsidRPr="00B71178">
        <w:rPr>
          <w:lang w:val="en-US"/>
        </w:rPr>
        <w:t>sono</w:t>
      </w:r>
      <w:proofErr w:type="spellEnd"/>
      <w:r w:rsidRPr="00B71178">
        <w:rPr>
          <w:lang w:val="en-US"/>
        </w:rPr>
        <w:t xml:space="preserve">: Google Effect, </w:t>
      </w:r>
      <w:r w:rsidRPr="00B71178">
        <w:rPr>
          <w:lang w:val="en-US"/>
        </w:rPr>
        <w:t>Photo-taking impairment effect</w:t>
      </w:r>
      <w:r>
        <w:rPr>
          <w:lang w:val="en-US"/>
        </w:rPr>
        <w:t xml:space="preserve">, </w:t>
      </w:r>
      <w:r w:rsidRPr="00B71178">
        <w:rPr>
          <w:lang w:val="en-US"/>
        </w:rPr>
        <w:t>GPS navigation system</w:t>
      </w:r>
      <w:r>
        <w:rPr>
          <w:lang w:val="en-US"/>
        </w:rPr>
        <w:t xml:space="preserve">, </w:t>
      </w:r>
      <w:r w:rsidRPr="00B71178">
        <w:rPr>
          <w:lang w:val="en-US"/>
        </w:rPr>
        <w:t>Deskilling</w:t>
      </w:r>
      <w:r w:rsidR="00E676A4">
        <w:rPr>
          <w:lang w:val="en-US"/>
        </w:rPr>
        <w:t>…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B315D5"/>
    <w:multiLevelType w:val="hybridMultilevel"/>
    <w:tmpl w:val="86D05A06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B50785"/>
    <w:multiLevelType w:val="hybridMultilevel"/>
    <w:tmpl w:val="FB78AF82"/>
    <w:lvl w:ilvl="0" w:tplc="4C84DC9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D82BA7"/>
    <w:multiLevelType w:val="hybridMultilevel"/>
    <w:tmpl w:val="0518C6CE"/>
    <w:lvl w:ilvl="0" w:tplc="FB1C144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93616095">
    <w:abstractNumId w:val="1"/>
  </w:num>
  <w:num w:numId="2" w16cid:durableId="262810966">
    <w:abstractNumId w:val="2"/>
  </w:num>
  <w:num w:numId="3" w16cid:durableId="16664753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13"/>
    <w:rsid w:val="000465BC"/>
    <w:rsid w:val="000576E6"/>
    <w:rsid w:val="00094570"/>
    <w:rsid w:val="00096754"/>
    <w:rsid w:val="000A201F"/>
    <w:rsid w:val="000A6C6B"/>
    <w:rsid w:val="000D2F63"/>
    <w:rsid w:val="000E0EE2"/>
    <w:rsid w:val="000E22A4"/>
    <w:rsid w:val="000E5F2A"/>
    <w:rsid w:val="000E7C11"/>
    <w:rsid w:val="00113A43"/>
    <w:rsid w:val="001249D0"/>
    <w:rsid w:val="00137DA2"/>
    <w:rsid w:val="00163BD3"/>
    <w:rsid w:val="00184D87"/>
    <w:rsid w:val="001B015D"/>
    <w:rsid w:val="001E10A4"/>
    <w:rsid w:val="002018A5"/>
    <w:rsid w:val="00220EA2"/>
    <w:rsid w:val="00237C76"/>
    <w:rsid w:val="00242D94"/>
    <w:rsid w:val="002556D7"/>
    <w:rsid w:val="002645C5"/>
    <w:rsid w:val="002660F4"/>
    <w:rsid w:val="002855EE"/>
    <w:rsid w:val="002924E0"/>
    <w:rsid w:val="0029639C"/>
    <w:rsid w:val="002A0503"/>
    <w:rsid w:val="002C1FD7"/>
    <w:rsid w:val="0031361A"/>
    <w:rsid w:val="0031461F"/>
    <w:rsid w:val="00336E93"/>
    <w:rsid w:val="00387946"/>
    <w:rsid w:val="003B62CC"/>
    <w:rsid w:val="003D1841"/>
    <w:rsid w:val="003E7566"/>
    <w:rsid w:val="0041056C"/>
    <w:rsid w:val="00422FF6"/>
    <w:rsid w:val="00424F53"/>
    <w:rsid w:val="00451037"/>
    <w:rsid w:val="00454753"/>
    <w:rsid w:val="00470D15"/>
    <w:rsid w:val="004B17BB"/>
    <w:rsid w:val="004C0E2D"/>
    <w:rsid w:val="004F4071"/>
    <w:rsid w:val="00515A70"/>
    <w:rsid w:val="005357B3"/>
    <w:rsid w:val="00561F59"/>
    <w:rsid w:val="00565AD0"/>
    <w:rsid w:val="00575A56"/>
    <w:rsid w:val="00585B9F"/>
    <w:rsid w:val="005A36E1"/>
    <w:rsid w:val="005C3BC3"/>
    <w:rsid w:val="005C4FA2"/>
    <w:rsid w:val="005F6997"/>
    <w:rsid w:val="006017C0"/>
    <w:rsid w:val="00617E71"/>
    <w:rsid w:val="00627426"/>
    <w:rsid w:val="00630566"/>
    <w:rsid w:val="006564F4"/>
    <w:rsid w:val="00673816"/>
    <w:rsid w:val="00735BCA"/>
    <w:rsid w:val="007605C9"/>
    <w:rsid w:val="00764657"/>
    <w:rsid w:val="00775413"/>
    <w:rsid w:val="007A390D"/>
    <w:rsid w:val="007F691F"/>
    <w:rsid w:val="007F6D84"/>
    <w:rsid w:val="00800DFC"/>
    <w:rsid w:val="008055E3"/>
    <w:rsid w:val="00864B62"/>
    <w:rsid w:val="00864DCA"/>
    <w:rsid w:val="00865984"/>
    <w:rsid w:val="008670B7"/>
    <w:rsid w:val="00887B49"/>
    <w:rsid w:val="008D4EBA"/>
    <w:rsid w:val="008E04B1"/>
    <w:rsid w:val="008E0C02"/>
    <w:rsid w:val="008E3190"/>
    <w:rsid w:val="008E5C6B"/>
    <w:rsid w:val="008F4F07"/>
    <w:rsid w:val="00900869"/>
    <w:rsid w:val="00901988"/>
    <w:rsid w:val="009421B4"/>
    <w:rsid w:val="00951221"/>
    <w:rsid w:val="0096126E"/>
    <w:rsid w:val="00964576"/>
    <w:rsid w:val="00972D08"/>
    <w:rsid w:val="00986850"/>
    <w:rsid w:val="009A351C"/>
    <w:rsid w:val="009B0432"/>
    <w:rsid w:val="009C6727"/>
    <w:rsid w:val="009F1CCF"/>
    <w:rsid w:val="00A115E9"/>
    <w:rsid w:val="00A41BE0"/>
    <w:rsid w:val="00A644EA"/>
    <w:rsid w:val="00A76C97"/>
    <w:rsid w:val="00A978A6"/>
    <w:rsid w:val="00AA6D4A"/>
    <w:rsid w:val="00AC3D89"/>
    <w:rsid w:val="00AC6020"/>
    <w:rsid w:val="00AC70E2"/>
    <w:rsid w:val="00AF0E2D"/>
    <w:rsid w:val="00AF2841"/>
    <w:rsid w:val="00B07D9B"/>
    <w:rsid w:val="00B226BD"/>
    <w:rsid w:val="00B71178"/>
    <w:rsid w:val="00B746FB"/>
    <w:rsid w:val="00B80A05"/>
    <w:rsid w:val="00BE4CFE"/>
    <w:rsid w:val="00BF3EE9"/>
    <w:rsid w:val="00C07F5F"/>
    <w:rsid w:val="00C17236"/>
    <w:rsid w:val="00C42D4A"/>
    <w:rsid w:val="00C50658"/>
    <w:rsid w:val="00C61A3E"/>
    <w:rsid w:val="00C67BC1"/>
    <w:rsid w:val="00C86317"/>
    <w:rsid w:val="00CD7809"/>
    <w:rsid w:val="00D218FC"/>
    <w:rsid w:val="00D31589"/>
    <w:rsid w:val="00D37F65"/>
    <w:rsid w:val="00D533DE"/>
    <w:rsid w:val="00D60996"/>
    <w:rsid w:val="00DD02B0"/>
    <w:rsid w:val="00DE5AF0"/>
    <w:rsid w:val="00E054C1"/>
    <w:rsid w:val="00E36782"/>
    <w:rsid w:val="00E37EED"/>
    <w:rsid w:val="00E568AA"/>
    <w:rsid w:val="00E676A4"/>
    <w:rsid w:val="00E7470A"/>
    <w:rsid w:val="00EC446A"/>
    <w:rsid w:val="00EC7887"/>
    <w:rsid w:val="00EF3D62"/>
    <w:rsid w:val="00F556DD"/>
    <w:rsid w:val="00F93BDD"/>
    <w:rsid w:val="00FC12CE"/>
    <w:rsid w:val="00FD5F87"/>
    <w:rsid w:val="00FE2D0E"/>
    <w:rsid w:val="00FF27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070086"/>
  <w15:chartTrackingRefBased/>
  <w15:docId w15:val="{C7F399B3-7A35-49A4-9873-DA6BBBFEF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rsid w:val="00AF2841"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sid w:val="00AF2841"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sid w:val="00AF2841"/>
    <w:rPr>
      <w:vertAlign w:val="superscript"/>
    </w:rPr>
  </w:style>
  <w:style w:type="paragraph" w:styleId="Paragrafoelenco">
    <w:name w:val="List Paragraph"/>
    <w:basedOn w:val="Normale"/>
    <w:uiPriority w:val="34"/>
    <w:qFormat/>
    <w:rsid w:val="008E5C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1687C6-7BA4-49D2-9E7E-2A8E6459C6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5</Pages>
  <Words>2622</Words>
  <Characters>14946</Characters>
  <Application>Microsoft Office Word</Application>
  <DocSecurity>0</DocSecurity>
  <Lines>124</Lines>
  <Paragraphs>35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Alessia Maria Marica</dc:creator>
  <cp:keywords/>
  <dc:description/>
  <cp:lastModifiedBy>Alessia Maria Marica</cp:lastModifiedBy>
  <cp:revision>4</cp:revision>
  <dcterms:created xsi:type="dcterms:W3CDTF">2024-09-30T08:25:00Z</dcterms:created>
  <dcterms:modified xsi:type="dcterms:W3CDTF">2024-09-30T15:14:00Z</dcterms:modified>
</cp:coreProperties>
</file>