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"/>
        <w:jc w:val="center"/>
      </w:pPr>
      <w:r>
        <w:rPr>
          <w:b/>
          <w:bCs/>
          <w:color w:val="2E74B5"/>
          <w:sz w:val="34"/>
          <w:szCs w:val="34"/>
        </w:rPr>
        <w:t xml:space="preserve">Analisi dei Requisiti — Piattaforma Esperia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2"/>
        <w:gridCol w:w="6536"/>
      </w:tblGrid>
      <w:tr>
        <w:trPr>
          <w:tblHeader/>
        </w:trPr>
        <w:tc>
          <w:tcPr>
            <w:tcW w:type="dxa" w:w="3102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2E74B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Progetto</w:t>
            </w:r>
          </w:p>
        </w:tc>
        <w:tc>
          <w:tcPr>
            <w:tcW w:type="dxa" w:w="6536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2E74B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Esperia — Piattaforma editoriale digitale</w:t>
            </w:r>
          </w:p>
        </w:tc>
      </w:tr>
      <w:tr>
        <w:tc>
          <w:tcPr>
            <w:tcW w:type="dxa" w:w="3102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Fornitore</w:t>
            </w:r>
          </w:p>
        </w:tc>
        <w:tc>
          <w:tcPr>
            <w:tcW w:type="dxa" w:w="6536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Blusail Technologies S.r.l.s.</w:t>
            </w:r>
          </w:p>
        </w:tc>
      </w:tr>
      <w:tr>
        <w:tc>
          <w:tcPr>
            <w:tcW w:type="dxa" w:w="3102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Committente</w:t>
            </w:r>
          </w:p>
        </w:tc>
        <w:tc>
          <w:tcPr>
            <w:tcW w:type="dxa" w:w="6536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Esperia S.r.l.</w:t>
            </w:r>
          </w:p>
        </w:tc>
      </w:tr>
      <w:tr>
        <w:tc>
          <w:tcPr>
            <w:tcW w:type="dxa" w:w="3102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Documento di riferimento</w:t>
            </w:r>
          </w:p>
        </w:tc>
        <w:tc>
          <w:tcPr>
            <w:tcW w:type="dxa" w:w="6536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Offerta contrattuale del 28/07/2026 (e preventivo allegato)</w:t>
            </w:r>
          </w:p>
        </w:tc>
      </w:tr>
      <w:tr>
        <w:tc>
          <w:tcPr>
            <w:tcW w:type="dxa" w:w="3102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Versione</w:t>
            </w:r>
          </w:p>
        </w:tc>
        <w:tc>
          <w:tcPr>
            <w:tcW w:type="dxa" w:w="6536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0.1 — Bozza per revisione congiunta</w:t>
            </w:r>
          </w:p>
        </w:tc>
      </w:tr>
      <w:tr>
        <w:tc>
          <w:tcPr>
            <w:tcW w:type="dxa" w:w="3102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Data</w:t>
            </w:r>
          </w:p>
        </w:tc>
        <w:tc>
          <w:tcPr>
            <w:tcW w:type="dxa" w:w="6536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04/08/2026</w:t>
            </w:r>
          </w:p>
        </w:tc>
      </w:tr>
    </w:tbl>
    <w:p>
      <w:pPr>
        <w:spacing w:after="60"/>
      </w:pPr>
    </w:p>
    <w:p>
      <w:pPr>
        <w:pBdr>
          <w:bottom w:val="single" w:color="D0D7DE" w:sz="4"/>
        </w:pBdr>
        <w:spacing w:after="120" w:before="120"/>
      </w:pPr>
    </w:p>
    <w:p>
      <w:pPr>
        <w:pStyle w:val="Heading1"/>
      </w:pPr>
      <w:r>
        <w:t xml:space="preserve">1. Introduzione</w:t>
      </w:r>
    </w:p>
    <w:p>
      <w:pPr>
        <w:pStyle w:val="Heading2"/>
      </w:pPr>
      <w:r>
        <w:t xml:space="preserve">1.1 Scopo del documento</w:t>
      </w:r>
    </w:p>
    <w:p>
      <w:pPr>
        <w:spacing w:after="120"/>
      </w:pPr>
      <w:r>
        <w:t xml:space="preserve">Il presente documento definisce i requisiti funzionali e non funzionali della piattaforma </w:t>
      </w:r>
      <w:r>
        <w:rPr>
          <w:b/>
          <w:bCs/>
        </w:rPr>
        <w:t xml:space="preserve">Esperia</w:t>
      </w:r>
      <w:r>
        <w:t xml:space="preserve">, così come delineata nell'offerta contrattuale sottoscritta tra le parti. Costituisce la base condivisa per la progettazione, lo sviluppo, il collaudo e l'accettazione della piattaforma, e sarà raffinato in fase di kick-off insieme al cronoprogramma di dettaglio previsto al punto 7 dell'offerta.</w:t>
      </w:r>
    </w:p>
    <w:p>
      <w:pPr>
        <w:pStyle w:val="Heading2"/>
      </w:pPr>
      <w:r>
        <w:t xml:space="preserve">1.2 Documenti di riferimento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Offerta contrattuale "Progettazione e sviluppo della piattaforma Esperia" — Taranto, 28/07/2026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Preventivo allegato all'offerta (parte integrante della stessa)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Futuro accordo di partnership (punto 4 dell'offerta) — per titolarità dei diritti sul software</w:t>
      </w:r>
    </w:p>
    <w:p>
      <w:pPr>
        <w:pStyle w:val="Heading2"/>
      </w:pPr>
      <w:r>
        <w:t xml:space="preserve">1.3 Definizioni e acronimi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7"/>
        <w:gridCol w:w="8261"/>
      </w:tblGrid>
      <w:tr>
        <w:trPr>
          <w:tblHeader/>
        </w:trPr>
        <w:tc>
          <w:tcPr>
            <w:tcW w:type="dxa" w:w="1377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2E74B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Termine</w:t>
            </w:r>
          </w:p>
        </w:tc>
        <w:tc>
          <w:tcPr>
            <w:tcW w:type="dxa" w:w="8261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2E74B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Significato</w:t>
            </w:r>
          </w:p>
        </w:tc>
      </w:tr>
      <w:tr>
        <w:tc>
          <w:tcPr>
            <w:tcW w:type="dxa" w:w="1377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Portale</w:t>
            </w:r>
          </w:p>
        </w:tc>
        <w:tc>
          <w:tcPr>
            <w:tcW w:type="dxa" w:w="8261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Sito web pubblico di consultazione delle notizie</w:t>
            </w:r>
          </w:p>
        </w:tc>
      </w:tr>
      <w:tr>
        <w:tc>
          <w:tcPr>
            <w:tcW w:type="dxa" w:w="1377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Backoffice</w:t>
            </w:r>
          </w:p>
        </w:tc>
        <w:tc>
          <w:tcPr>
            <w:tcW w:type="dxa" w:w="8261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Area riservata alla redazione per la gestione dei contenuti</w:t>
            </w:r>
          </w:p>
        </w:tc>
      </w:tr>
      <w:tr>
        <w:tc>
          <w:tcPr>
            <w:tcW w:type="dxa" w:w="1377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Hot topic</w:t>
            </w:r>
          </w:p>
        </w:tc>
        <w:tc>
          <w:tcPr>
            <w:tcW w:type="dxa" w:w="8261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Argomento emergente/di tendenza individuato dal modulo AI a partire da fonti news e trend</w:t>
            </w:r>
          </w:p>
        </w:tc>
      </w:tr>
      <w:tr>
        <w:tc>
          <w:tcPr>
            <w:tcW w:type="dxa" w:w="1377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LLM</w:t>
            </w:r>
          </w:p>
        </w:tc>
        <w:tc>
          <w:tcPr>
            <w:tcW w:type="dxa" w:w="8261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Large Language Model — modello linguistico usato per la generazione assistita</w:t>
            </w:r>
          </w:p>
        </w:tc>
      </w:tr>
      <w:tr>
        <w:tc>
          <w:tcPr>
            <w:tcW w:type="dxa" w:w="1377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HITL</w:t>
            </w:r>
          </w:p>
        </w:tc>
        <w:tc>
          <w:tcPr>
            <w:tcW w:type="dxa" w:w="8261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Human-in-the-loop — supervisione umana obbligatoria sui contenuti generati dall'AI</w:t>
            </w:r>
          </w:p>
        </w:tc>
      </w:tr>
      <w:tr>
        <w:tc>
          <w:tcPr>
            <w:tcW w:type="dxa" w:w="1377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 / RNF</w:t>
            </w:r>
          </w:p>
        </w:tc>
        <w:tc>
          <w:tcPr>
            <w:tcW w:type="dxa" w:w="8261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Requisito Funzionale / Requisito Non Funzionale</w:t>
            </w:r>
          </w:p>
        </w:tc>
      </w:tr>
      <w:tr>
        <w:tc>
          <w:tcPr>
            <w:tcW w:type="dxa" w:w="1377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MoSCoW</w:t>
            </w:r>
          </w:p>
        </w:tc>
        <w:tc>
          <w:tcPr>
            <w:tcW w:type="dxa" w:w="8261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Priorità: </w:t>
            </w:r>
            <w:r>
              <w:rPr>
                <w:b/>
                <w:bCs/>
              </w:rPr>
              <w:t xml:space="preserve">M</w:t>
            </w:r>
            <w:r>
              <w:t xml:space="preserve">ust, </w:t>
            </w:r>
            <w:r>
              <w:rPr>
                <w:b/>
                <w:bCs/>
              </w:rPr>
              <w:t xml:space="preserve">S</w:t>
            </w:r>
            <w:r>
              <w:t xml:space="preserve">hould, </w:t>
            </w:r>
            <w:r>
              <w:rPr>
                <w:b/>
                <w:bCs/>
              </w:rPr>
              <w:t xml:space="preserve">C</w:t>
            </w:r>
            <w:r>
              <w:t xml:space="preserve">ould, </w:t>
            </w:r>
            <w:r>
              <w:rPr>
                <w:b/>
                <w:bCs/>
              </w:rPr>
              <w:t xml:space="preserve">W</w:t>
            </w:r>
            <w:r>
              <w:t xml:space="preserve">on't (questa fase)</w:t>
            </w:r>
          </w:p>
        </w:tc>
      </w:tr>
    </w:tbl>
    <w:p>
      <w:pPr>
        <w:spacing w:after="60"/>
      </w:pPr>
    </w:p>
    <w:p>
      <w:pPr>
        <w:pBdr>
          <w:bottom w:val="single" w:color="D0D7DE" w:sz="4"/>
        </w:pBdr>
        <w:spacing w:after="120" w:before="120"/>
      </w:pPr>
    </w:p>
    <w:p>
      <w:pPr>
        <w:pStyle w:val="Heading1"/>
      </w:pPr>
      <w:r>
        <w:t xml:space="preserve">2. Descrizione generale del sistema</w:t>
      </w:r>
    </w:p>
    <w:p>
      <w:pPr>
        <w:pStyle w:val="Heading2"/>
      </w:pPr>
      <w:r>
        <w:t xml:space="preserve">2.1 Contesto e obiettivi</w:t>
      </w:r>
    </w:p>
    <w:p>
      <w:pPr>
        <w:spacing w:after="120"/>
      </w:pPr>
      <w:r>
        <w:t xml:space="preserve">Esperia è una piattaforma editoriale digitale composta da tre macro-componenti applicative — un </w:t>
      </w:r>
      <w:r>
        <w:rPr>
          <w:b/>
          <w:bCs/>
        </w:rPr>
        <w:t xml:space="preserve">portale news pubblico</w:t>
      </w:r>
      <w:r>
        <w:t xml:space="preserve">, una </w:t>
      </w:r>
      <w:r>
        <w:rPr>
          <w:b/>
          <w:bCs/>
        </w:rPr>
        <w:t xml:space="preserve">sezione community</w:t>
      </w:r>
      <w:r>
        <w:t xml:space="preserve"> e un </w:t>
      </w:r>
      <w:r>
        <w:rPr>
          <w:b/>
          <w:bCs/>
        </w:rPr>
        <w:t xml:space="preserve">backoffice editoriale</w:t>
      </w:r>
      <w:r>
        <w:t xml:space="preserve"> — a cui si affianca un </w:t>
      </w:r>
      <w:r>
        <w:rPr>
          <w:b/>
          <w:bCs/>
        </w:rPr>
        <w:t xml:space="preserve">modulo di intelligenza artificiale</w:t>
      </w:r>
      <w:r>
        <w:t xml:space="preserve"> trasversale che supporta la redazione nell'individuazione degli hot topic e nella generazione assistita degli articoli.</w:t>
      </w:r>
    </w:p>
    <w:p>
      <w:pPr>
        <w:spacing w:after="120"/>
      </w:pPr>
      <w:r>
        <w:t xml:space="preserve">Obiettivi principali: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Pubblicare e distribuire contenuti giornalistici tramite un portale pubblico moderno, veloce e tecnicamente ottimizzato per i motori di ricerca.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Creare una community di lettori registrati che interagiscono con i contenuti.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Fornire alla redazione un backoffice completo per l'intero ciclo di vita editoriale.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Ridurre tempi e costi redazionali grazie al supporto AI, mantenendo il controllo umano su ogni pubblicazione.</w:t>
      </w:r>
    </w:p>
    <w:p>
      <w:pPr>
        <w:pStyle w:val="Heading2"/>
      </w:pPr>
      <w:r>
        <w:t xml:space="preserve">2.2 Attori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4"/>
        <w:gridCol w:w="6724"/>
      </w:tblGrid>
      <w:tr>
        <w:trPr>
          <w:tblHeader/>
        </w:trPr>
        <w:tc>
          <w:tcPr>
            <w:tcW w:type="dxa" w:w="2914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2E74B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Attore</w:t>
            </w:r>
          </w:p>
        </w:tc>
        <w:tc>
          <w:tcPr>
            <w:tcW w:type="dxa" w:w="6724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2E74B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</w:tr>
      <w:tr>
        <w:tc>
          <w:tcPr>
            <w:tcW w:type="dxa" w:w="2914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Visitatore</w:t>
            </w:r>
          </w:p>
        </w:tc>
        <w:tc>
          <w:tcPr>
            <w:tcW w:type="dxa" w:w="6724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Utente anonimo che consulta il portale pubblico</w:t>
            </w:r>
          </w:p>
        </w:tc>
      </w:tr>
      <w:tr>
        <w:tc>
          <w:tcPr>
            <w:tcW w:type="dxa" w:w="2914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Utente registrato</w:t>
            </w:r>
          </w:p>
        </w:tc>
        <w:tc>
          <w:tcPr>
            <w:tcW w:type="dxa" w:w="6724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Membro della community: commenta e interagisce con i contenuti</w:t>
            </w:r>
          </w:p>
        </w:tc>
      </w:tr>
      <w:tr>
        <w:tc>
          <w:tcPr>
            <w:tcW w:type="dxa" w:w="2914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Redattore</w:t>
            </w:r>
          </w:p>
        </w:tc>
        <w:tc>
          <w:tcPr>
            <w:tcW w:type="dxa" w:w="6724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Crea e modifica articoli nel backoffice, utilizza gli strumenti AI</w:t>
            </w:r>
          </w:p>
        </w:tc>
      </w:tr>
      <w:tr>
        <w:tc>
          <w:tcPr>
            <w:tcW w:type="dxa" w:w="2914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Editor / Caporedattore</w:t>
            </w:r>
          </w:p>
        </w:tc>
        <w:tc>
          <w:tcPr>
            <w:tcW w:type="dxa" w:w="6724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Revisiona, approva e pianifica le pubblicazioni; modera la community</w:t>
            </w:r>
          </w:p>
        </w:tc>
      </w:tr>
      <w:tr>
        <w:tc>
          <w:tcPr>
            <w:tcW w:type="dxa" w:w="2914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Amministratore</w:t>
            </w:r>
          </w:p>
        </w:tc>
        <w:tc>
          <w:tcPr>
            <w:tcW w:type="dxa" w:w="6724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Gestisce utenti, ruoli, configurazioni di sistema e integrazioni (chiavi API, fonti)</w:t>
            </w:r>
          </w:p>
        </w:tc>
      </w:tr>
      <w:tr>
        <w:tc>
          <w:tcPr>
            <w:tcW w:type="dxa" w:w="2914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Modulo AI</w:t>
            </w:r>
          </w:p>
        </w:tc>
        <w:tc>
          <w:tcPr>
            <w:tcW w:type="dxa" w:w="6724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Componente di sistema: monitora le fonti, propone hot topic, genera bozze su richiesta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2.3 Macro-architettura logica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Frontend pubblico</w:t>
      </w:r>
      <w:r>
        <w:t xml:space="preserve"> (portale news + funzioni community lato utente)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Backoffice editoriale</w:t>
      </w:r>
      <w:r>
        <w:t xml:space="preserve"> (area riservata con autenticazione e ruoli)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Backend applicativo e API</w:t>
      </w:r>
      <w:r>
        <w:t xml:space="preserve"> (logica di dominio, persistenza, autenticazione)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Modulo AI</w:t>
      </w:r>
      <w:r>
        <w:t xml:space="preserve"> (orchestrazione LLM, ingestione fonti news/trend, generazione assistita)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Integrazioni esterne a consumo</w:t>
      </w:r>
      <w:r>
        <w:t xml:space="preserve">: provider LLM, generazione immagini, fonti news/trend (fatturate direttamente al Committente, punto 6 dell'offerta)</w:t>
      </w:r>
    </w:p>
    <w:p>
      <w:pPr>
        <w:spacing w:after="120"/>
      </w:pPr>
      <w:r>
        <w:t xml:space="preserve">Le scelte tecnologiche di dettaglio (stack, hosting, provider) sono definite in fase di kick-off; l'hosting e l'infrastruttura cloud sono a carico del Committente.</w:t>
      </w:r>
    </w:p>
    <w:p>
      <w:pPr>
        <w:pStyle w:val="Heading2"/>
      </w:pPr>
      <w:r>
        <w:t xml:space="preserve">2.4 Vincoli contrattuali di progetto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11"/>
        <w:gridCol w:w="1927"/>
      </w:tblGrid>
      <w:tr>
        <w:trPr>
          <w:tblHeader/>
        </w:trP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2E74B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511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2E74B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Vincolo</w:t>
            </w:r>
          </w:p>
        </w:tc>
        <w:tc>
          <w:tcPr>
            <w:tcW w:type="dxa" w:w="1927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2E74B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Fonte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V-01</w:t>
            </w:r>
          </w:p>
        </w:tc>
        <w:tc>
          <w:tcPr>
            <w:tcW w:type="dxa" w:w="6511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Consegna della piattaforma completa (test e messa in esercizio inclusi) entro </w:t>
            </w:r>
            <w:r>
              <w:rPr>
                <w:b/>
                <w:bCs/>
              </w:rPr>
              <w:t xml:space="preserve">2 mesi</w:t>
            </w:r>
            <w:r>
              <w:t xml:space="preserve"> dall'accettazione dell'offerta e dall'avvio operativo</w:t>
            </w:r>
          </w:p>
        </w:tc>
        <w:tc>
          <w:tcPr>
            <w:tcW w:type="dxa" w:w="1927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Offerta, punto 7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V-02</w:t>
            </w:r>
          </w:p>
        </w:tc>
        <w:tc>
          <w:tcPr>
            <w:tcW w:type="dxa" w:w="6511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Costi di modelli AI e API a consumo, hosting e infrastruttura cloud </w:t>
            </w:r>
            <w:r>
              <w:rPr>
                <w:b/>
                <w:bCs/>
              </w:rPr>
              <w:t xml:space="preserve">esclusi</w:t>
            </w:r>
            <w:r>
              <w:t xml:space="preserve"> dal perimetro e a carico del Committente</w:t>
            </w:r>
          </w:p>
        </w:tc>
        <w:tc>
          <w:tcPr>
            <w:tcW w:type="dxa" w:w="1927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Offerta, punto 6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V-03</w:t>
            </w:r>
          </w:p>
        </w:tc>
        <w:tc>
          <w:tcPr>
            <w:tcW w:type="dxa" w:w="6511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SEO incluso limitato alla </w:t>
            </w:r>
            <w:r>
              <w:rPr>
                <w:b/>
                <w:bCs/>
              </w:rPr>
              <w:t xml:space="preserve">base tecnica</w:t>
            </w:r>
            <w:r>
              <w:t xml:space="preserve">; SEO avanzata fuori perimetro</w:t>
            </w:r>
          </w:p>
        </w:tc>
        <w:tc>
          <w:tcPr>
            <w:tcW w:type="dxa" w:w="1927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Offerta, punto 6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V-04</w:t>
            </w:r>
          </w:p>
        </w:tc>
        <w:tc>
          <w:tcPr>
            <w:tcW w:type="dxa" w:w="6511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Produzione dei contenuti editoriali a carico del Committente</w:t>
            </w:r>
          </w:p>
        </w:tc>
        <w:tc>
          <w:tcPr>
            <w:tcW w:type="dxa" w:w="1927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Offerta, punto 6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V-05</w:t>
            </w:r>
          </w:p>
        </w:tc>
        <w:tc>
          <w:tcPr>
            <w:tcW w:type="dxa" w:w="6511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Manutenzione evolutiva e correttiva post-rilascio oggetto di offerta separata</w:t>
            </w:r>
          </w:p>
        </w:tc>
        <w:tc>
          <w:tcPr>
            <w:tcW w:type="dxa" w:w="1927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Offerta, punto 6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V-06</w:t>
            </w:r>
          </w:p>
        </w:tc>
        <w:tc>
          <w:tcPr>
            <w:tcW w:type="dxa" w:w="6511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Alla consegna: ambiente funzionante e operativo; codice sorgente e diritti sospesi fino all'accordo di partnership</w:t>
            </w:r>
          </w:p>
        </w:tc>
        <w:tc>
          <w:tcPr>
            <w:tcW w:type="dxa" w:w="1927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Offerta, punto 8</w:t>
            </w:r>
          </w:p>
        </w:tc>
      </w:tr>
    </w:tbl>
    <w:p>
      <w:pPr>
        <w:spacing w:after="60"/>
      </w:pPr>
    </w:p>
    <w:p>
      <w:pPr>
        <w:pBdr>
          <w:bottom w:val="single" w:color="D0D7DE" w:sz="4"/>
        </w:pBdr>
        <w:spacing w:after="120" w:before="120"/>
      </w:pPr>
    </w:p>
    <w:p>
      <w:pPr>
        <w:pStyle w:val="Heading1"/>
      </w:pPr>
      <w:r>
        <w:t xml:space="preserve">3. Requisiti funzionali</w:t>
      </w:r>
    </w:p>
    <w:p>
      <w:pPr>
        <w:spacing w:after="120"/>
      </w:pPr>
      <w:r>
        <w:t xml:space="preserve">Priorità secondo scala MoSCoW. I requisiti "Should"/"Could" sono da confermare in kick-off in funzione del vincolo temporale V-01.</w:t>
      </w:r>
    </w:p>
    <w:p>
      <w:pPr>
        <w:pStyle w:val="Heading2"/>
      </w:pPr>
      <w:r>
        <w:t xml:space="preserve">3.1 Portale news pubblico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10"/>
        <w:gridCol w:w="4828"/>
        <w:gridCol w:w="1200"/>
      </w:tblGrid>
      <w:tr>
        <w:trPr>
          <w:tblHeader/>
        </w:trP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2E74B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41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2E74B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Requisito</w:t>
            </w:r>
          </w:p>
        </w:tc>
        <w:tc>
          <w:tcPr>
            <w:tcW w:type="dxa" w:w="4828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2E74B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2E74B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Priorità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RF-P-01</w:t>
            </w:r>
          </w:p>
        </w:tc>
        <w:tc>
          <w:tcPr>
            <w:tcW w:type="dxa" w:w="241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Homepage</w:t>
            </w:r>
          </w:p>
        </w:tc>
        <w:tc>
          <w:tcPr>
            <w:tcW w:type="dxa" w:w="4828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Homepage con articoli in evidenza, ultime notizie e accessi rapidi alle categorie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RF-P-02</w:t>
            </w:r>
          </w:p>
        </w:tc>
        <w:tc>
          <w:tcPr>
            <w:tcW w:type="dxa" w:w="241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Navigazione per categorie</w:t>
            </w:r>
          </w:p>
        </w:tc>
        <w:tc>
          <w:tcPr>
            <w:tcW w:type="dxa" w:w="4828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Pagine di listing per categoria con paginazione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RF-P-03</w:t>
            </w:r>
          </w:p>
        </w:tc>
        <w:tc>
          <w:tcPr>
            <w:tcW w:type="dxa" w:w="241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Navigazione per tag</w:t>
            </w:r>
          </w:p>
        </w:tc>
        <w:tc>
          <w:tcPr>
            <w:tcW w:type="dxa" w:w="4828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Pagine di listing per tag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RF-P-04</w:t>
            </w:r>
          </w:p>
        </w:tc>
        <w:tc>
          <w:tcPr>
            <w:tcW w:type="dxa" w:w="241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Pagina articolo</w:t>
            </w:r>
          </w:p>
        </w:tc>
        <w:tc>
          <w:tcPr>
            <w:tcW w:type="dxa" w:w="4828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Titolo, sottotitolo/occhiello, corpo formattato, immagini, autore, data di pubblicazione/aggiornamento, tag, articoli correlati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RF-P-05</w:t>
            </w:r>
          </w:p>
        </w:tc>
        <w:tc>
          <w:tcPr>
            <w:tcW w:type="dxa" w:w="241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Ricerca</w:t>
            </w:r>
          </w:p>
        </w:tc>
        <w:tc>
          <w:tcPr>
            <w:tcW w:type="dxa" w:w="4828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Ricerca full-text sugli articoli pubblicati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RF-P-06</w:t>
            </w:r>
          </w:p>
        </w:tc>
        <w:tc>
          <w:tcPr>
            <w:tcW w:type="dxa" w:w="241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Condivisione social</w:t>
            </w:r>
          </w:p>
        </w:tc>
        <w:tc>
          <w:tcPr>
            <w:tcW w:type="dxa" w:w="4828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Pulsanti di condivisione e meta tag Open Graph/Twitter Card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RF-P-07</w:t>
            </w:r>
          </w:p>
        </w:tc>
        <w:tc>
          <w:tcPr>
            <w:tcW w:type="dxa" w:w="241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SEO tecnica di base</w:t>
            </w:r>
          </w:p>
        </w:tc>
        <w:tc>
          <w:tcPr>
            <w:tcW w:type="dxa" w:w="4828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URL parlanti, meta title/description, sitemap XML, robots.txt, dati strutturati (schema.org Article), canonical, gestione redirect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RF-P-08</w:t>
            </w:r>
          </w:p>
        </w:tc>
        <w:tc>
          <w:tcPr>
            <w:tcW w:type="dxa" w:w="241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Responsive design</w:t>
            </w:r>
          </w:p>
        </w:tc>
        <w:tc>
          <w:tcPr>
            <w:tcW w:type="dxa" w:w="4828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Fruizione ottimale da desktop, tablet e mobile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RF-P-09</w:t>
            </w:r>
          </w:p>
        </w:tc>
        <w:tc>
          <w:tcPr>
            <w:tcW w:type="dxa" w:w="241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Cookie banner e consensi</w:t>
            </w:r>
          </w:p>
        </w:tc>
        <w:tc>
          <w:tcPr>
            <w:tcW w:type="dxa" w:w="4828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Banner cookie conforme alla normativa, con gestione dei consensi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RF-P-10</w:t>
            </w:r>
          </w:p>
        </w:tc>
        <w:tc>
          <w:tcPr>
            <w:tcW w:type="dxa" w:w="241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Pagine statiche</w:t>
            </w:r>
          </w:p>
        </w:tc>
        <w:tc>
          <w:tcPr>
            <w:tcW w:type="dxa" w:w="4828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Pagine editoriali di servizio (chi siamo, contatti, privacy policy, cookie policy) gestibili da backoffice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RF-P-11</w:t>
            </w:r>
          </w:p>
        </w:tc>
        <w:tc>
          <w:tcPr>
            <w:tcW w:type="dxa" w:w="241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Feed RSS</w:t>
            </w:r>
          </w:p>
        </w:tc>
        <w:tc>
          <w:tcPr>
            <w:tcW w:type="dxa" w:w="4828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Feed RSS generale e per categoria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RF-P-12</w:t>
            </w:r>
          </w:p>
        </w:tc>
        <w:tc>
          <w:tcPr>
            <w:tcW w:type="dxa" w:w="241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Archivio storico</w:t>
            </w:r>
          </w:p>
        </w:tc>
        <w:tc>
          <w:tcPr>
            <w:tcW w:type="dxa" w:w="4828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Navigazione cronologica degli articoli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Could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3.2 Sezione community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62"/>
        <w:gridCol w:w="4976"/>
        <w:gridCol w:w="1200"/>
      </w:tblGrid>
      <w:tr>
        <w:trPr>
          <w:tblHeader/>
        </w:trP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2E74B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262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2E74B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Requisito</w:t>
            </w:r>
          </w:p>
        </w:tc>
        <w:tc>
          <w:tcPr>
            <w:tcW w:type="dxa" w:w="4976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2E74B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2E74B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Priorità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RF-C-01</w:t>
            </w:r>
          </w:p>
        </w:tc>
        <w:tc>
          <w:tcPr>
            <w:tcW w:type="dxa" w:w="2262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Registrazione e login</w:t>
            </w:r>
          </w:p>
        </w:tc>
        <w:tc>
          <w:tcPr>
            <w:tcW w:type="dxa" w:w="4976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Registrazione con email e password, verifica email, recupero password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RF-C-02</w:t>
            </w:r>
          </w:p>
        </w:tc>
        <w:tc>
          <w:tcPr>
            <w:tcW w:type="dxa" w:w="2262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Profilo utente</w:t>
            </w:r>
          </w:p>
        </w:tc>
        <w:tc>
          <w:tcPr>
            <w:tcW w:type="dxa" w:w="4976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Profilo con nome visualizzato, avatar e gestione dei propri dati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RF-C-03</w:t>
            </w:r>
          </w:p>
        </w:tc>
        <w:tc>
          <w:tcPr>
            <w:tcW w:type="dxa" w:w="2262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Commenti</w:t>
            </w:r>
          </w:p>
        </w:tc>
        <w:tc>
          <w:tcPr>
            <w:tcW w:type="dxa" w:w="4976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Commenti agli articoli da parte degli utenti registrati, con risposte annidate (1 livello)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RF-C-04</w:t>
            </w:r>
          </w:p>
        </w:tc>
        <w:tc>
          <w:tcPr>
            <w:tcW w:type="dxa" w:w="2262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Reazioni</w:t>
            </w:r>
          </w:p>
        </w:tc>
        <w:tc>
          <w:tcPr>
            <w:tcW w:type="dxa" w:w="4976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Like/reazioni agli articoli e/o ai commenti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RF-C-05</w:t>
            </w:r>
          </w:p>
        </w:tc>
        <w:tc>
          <w:tcPr>
            <w:tcW w:type="dxa" w:w="2262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Segnalazione contenuti</w:t>
            </w:r>
          </w:p>
        </w:tc>
        <w:tc>
          <w:tcPr>
            <w:tcW w:type="dxa" w:w="4976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Possibilità di segnalare commenti inappropriati alla moderazione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RF-C-06</w:t>
            </w:r>
          </w:p>
        </w:tc>
        <w:tc>
          <w:tcPr>
            <w:tcW w:type="dxa" w:w="2262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Moderazione lato utente</w:t>
            </w:r>
          </w:p>
        </w:tc>
        <w:tc>
          <w:tcPr>
            <w:tcW w:type="dxa" w:w="4976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Regole automatiche minime (es. blocco link/spam) prima della moderazione redazionale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RF-C-07</w:t>
            </w:r>
          </w:p>
        </w:tc>
        <w:tc>
          <w:tcPr>
            <w:tcW w:type="dxa" w:w="2262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Cancellazione account</w:t>
            </w:r>
          </w:p>
        </w:tc>
        <w:tc>
          <w:tcPr>
            <w:tcW w:type="dxa" w:w="4976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L'utente può richiedere la cancellazione del proprio account e dei dati associati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RF-C-08</w:t>
            </w:r>
          </w:p>
        </w:tc>
        <w:tc>
          <w:tcPr>
            <w:tcW w:type="dxa" w:w="2262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Login social</w:t>
            </w:r>
          </w:p>
        </w:tc>
        <w:tc>
          <w:tcPr>
            <w:tcW w:type="dxa" w:w="4976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Autenticazione tramite provider social (es. Google)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Could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RF-C-09</w:t>
            </w:r>
          </w:p>
        </w:tc>
        <w:tc>
          <w:tcPr>
            <w:tcW w:type="dxa" w:w="2262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Newsletter</w:t>
            </w:r>
          </w:p>
        </w:tc>
        <w:tc>
          <w:tcPr>
            <w:tcW w:type="dxa" w:w="4976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Iscrizione a newsletter e integrazione con servizio di invio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Could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3.3 Backoffice editoriale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10"/>
        <w:gridCol w:w="4828"/>
        <w:gridCol w:w="1200"/>
      </w:tblGrid>
      <w:tr>
        <w:trPr>
          <w:tblHeader/>
        </w:trP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2E74B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41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2E74B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Requisito</w:t>
            </w:r>
          </w:p>
        </w:tc>
        <w:tc>
          <w:tcPr>
            <w:tcW w:type="dxa" w:w="4828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2E74B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2E74B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Priorità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RF-B-01</w:t>
            </w:r>
          </w:p>
        </w:tc>
        <w:tc>
          <w:tcPr>
            <w:tcW w:type="dxa" w:w="241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Autenticazione backoffice</w:t>
            </w:r>
          </w:p>
        </w:tc>
        <w:tc>
          <w:tcPr>
            <w:tcW w:type="dxa" w:w="4828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Accesso riservato con credenziali dedicate, separato dalla community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RF-B-02</w:t>
            </w:r>
          </w:p>
        </w:tc>
        <w:tc>
          <w:tcPr>
            <w:tcW w:type="dxa" w:w="241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Ruoli e permessi</w:t>
            </w:r>
          </w:p>
        </w:tc>
        <w:tc>
          <w:tcPr>
            <w:tcW w:type="dxa" w:w="4828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Ruoli Redattore, Editor/Caporedattore, Amministratore con permessi differenziati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RF-B-03</w:t>
            </w:r>
          </w:p>
        </w:tc>
        <w:tc>
          <w:tcPr>
            <w:tcW w:type="dxa" w:w="241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Gestione articoli</w:t>
            </w:r>
          </w:p>
        </w:tc>
        <w:tc>
          <w:tcPr>
            <w:tcW w:type="dxa" w:w="4828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Creazione, modifica, duplicazione, archiviazione ed eliminazione degli articoli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RF-B-04</w:t>
            </w:r>
          </w:p>
        </w:tc>
        <w:tc>
          <w:tcPr>
            <w:tcW w:type="dxa" w:w="241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Editor di contenuti</w:t>
            </w:r>
          </w:p>
        </w:tc>
        <w:tc>
          <w:tcPr>
            <w:tcW w:type="dxa" w:w="4828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Editor ricco (formattazione, immagini, embed, citazioni) con anteprima dell'articolo come apparirà sul portale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RF-B-05</w:t>
            </w:r>
          </w:p>
        </w:tc>
        <w:tc>
          <w:tcPr>
            <w:tcW w:type="dxa" w:w="241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Workflow editoriale</w:t>
            </w:r>
          </w:p>
        </w:tc>
        <w:tc>
          <w:tcPr>
            <w:tcW w:type="dxa" w:w="4828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Stati dell'articolo: bozza → in revisione → approvato → pubblicato/programmato; passaggi di stato tracciati e soggetti ai permessi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RF-B-06</w:t>
            </w:r>
          </w:p>
        </w:tc>
        <w:tc>
          <w:tcPr>
            <w:tcW w:type="dxa" w:w="241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Pubblicazione programmata</w:t>
            </w:r>
          </w:p>
        </w:tc>
        <w:tc>
          <w:tcPr>
            <w:tcW w:type="dxa" w:w="4828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Pianificazione della pubblicazione a data/ora futura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RF-B-07</w:t>
            </w:r>
          </w:p>
        </w:tc>
        <w:tc>
          <w:tcPr>
            <w:tcW w:type="dxa" w:w="241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Media library</w:t>
            </w:r>
          </w:p>
        </w:tc>
        <w:tc>
          <w:tcPr>
            <w:tcW w:type="dxa" w:w="4828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Caricamento e gestione centralizzata di immagini e allegati, con ridimensionamento/ottimizzazione automatica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RF-B-08</w:t>
            </w:r>
          </w:p>
        </w:tc>
        <w:tc>
          <w:tcPr>
            <w:tcW w:type="dxa" w:w="241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Gestione categorie e tag</w:t>
            </w:r>
          </w:p>
        </w:tc>
        <w:tc>
          <w:tcPr>
            <w:tcW w:type="dxa" w:w="4828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CRUD di categorie e tag, con riordino e associazione agli articoli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RF-B-09</w:t>
            </w:r>
          </w:p>
        </w:tc>
        <w:tc>
          <w:tcPr>
            <w:tcW w:type="dxa" w:w="241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Campi SEO per articolo</w:t>
            </w:r>
          </w:p>
        </w:tc>
        <w:tc>
          <w:tcPr>
            <w:tcW w:type="dxa" w:w="4828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Meta title, meta description, slug personalizzabile, immagine social per singolo articolo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RF-B-10</w:t>
            </w:r>
          </w:p>
        </w:tc>
        <w:tc>
          <w:tcPr>
            <w:tcW w:type="dxa" w:w="241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Moderazione community</w:t>
            </w:r>
          </w:p>
        </w:tc>
        <w:tc>
          <w:tcPr>
            <w:tcW w:type="dxa" w:w="4828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Coda di moderazione di commenti e segnalazioni; approvazione, rifiuto, ban utente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RF-B-11</w:t>
            </w:r>
          </w:p>
        </w:tc>
        <w:tc>
          <w:tcPr>
            <w:tcW w:type="dxa" w:w="241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Gestione utenti</w:t>
            </w:r>
          </w:p>
        </w:tc>
        <w:tc>
          <w:tcPr>
            <w:tcW w:type="dxa" w:w="4828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Gestione degli account backoffice e degli utenti community da parte dell'Amministratore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RF-B-12</w:t>
            </w:r>
          </w:p>
        </w:tc>
        <w:tc>
          <w:tcPr>
            <w:tcW w:type="dxa" w:w="241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Dashboard redazionale</w:t>
            </w:r>
          </w:p>
        </w:tc>
        <w:tc>
          <w:tcPr>
            <w:tcW w:type="dxa" w:w="4828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Panoramica di articoli recenti, in lavorazione, programmati, hot topic suggeriti dall'AI, commenti in attesa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RF-B-13</w:t>
            </w:r>
          </w:p>
        </w:tc>
        <w:tc>
          <w:tcPr>
            <w:tcW w:type="dxa" w:w="241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Revisioni articolo</w:t>
            </w:r>
          </w:p>
        </w:tc>
        <w:tc>
          <w:tcPr>
            <w:tcW w:type="dxa" w:w="4828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Storico versioni dell'articolo con possibilità di ripristino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RF-B-14</w:t>
            </w:r>
          </w:p>
        </w:tc>
        <w:tc>
          <w:tcPr>
            <w:tcW w:type="dxa" w:w="241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Statistiche di base</w:t>
            </w:r>
          </w:p>
        </w:tc>
        <w:tc>
          <w:tcPr>
            <w:tcW w:type="dxa" w:w="4828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Metriche essenziali di consultazione (visualizzazioni articolo) o integrazione con strumento di analytics esterno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Could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3.4 Modulo AI</w:t>
      </w:r>
    </w:p>
    <w:p>
      <w:pPr>
        <w:spacing w:after="120"/>
      </w:pPr>
      <w:r>
        <w:t xml:space="preserve">Principio generale: </w:t>
      </w:r>
      <w:r>
        <w:rPr>
          <w:b/>
          <w:bCs/>
        </w:rPr>
        <w:t xml:space="preserve">nessun contenuto generato dall'AI viene pubblicato automaticamente</w:t>
      </w:r>
      <w:r>
        <w:t xml:space="preserve">. Ogni output AI entra nel workflow editoriale come bozza e richiede revisione e approvazione umana (HITL).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979"/>
        <w:gridCol w:w="4259"/>
        <w:gridCol w:w="1200"/>
      </w:tblGrid>
      <w:tr>
        <w:trPr>
          <w:tblHeader/>
        </w:trP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2E74B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97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2E74B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Requisito</w:t>
            </w:r>
          </w:p>
        </w:tc>
        <w:tc>
          <w:tcPr>
            <w:tcW w:type="dxa" w:w="425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2E74B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2E74B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Priorità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RF-AI-01</w:t>
            </w:r>
          </w:p>
        </w:tc>
        <w:tc>
          <w:tcPr>
            <w:tcW w:type="dxa" w:w="297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Ingestione fonti</w:t>
            </w:r>
          </w:p>
        </w:tc>
        <w:tc>
          <w:tcPr>
            <w:tcW w:type="dxa" w:w="425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Monitoraggio periodico di fonti news e trend configurabili (API di terze parti, a consumo)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RF-AI-02</w:t>
            </w:r>
          </w:p>
        </w:tc>
        <w:tc>
          <w:tcPr>
            <w:tcW w:type="dxa" w:w="297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Individuazione hot topic</w:t>
            </w:r>
          </w:p>
        </w:tc>
        <w:tc>
          <w:tcPr>
            <w:tcW w:type="dxa" w:w="425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Analisi e ranking degli argomenti emergenti rilevanti per la linea editoriale; presentazione in backoffice con titolo, sintesi e fonti di riferimento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RF-AI-03</w:t>
            </w:r>
          </w:p>
        </w:tc>
        <w:tc>
          <w:tcPr>
            <w:tcW w:type="dxa" w:w="297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Configurazione rilevanza</w:t>
            </w:r>
          </w:p>
        </w:tc>
        <w:tc>
          <w:tcPr>
            <w:tcW w:type="dxa" w:w="425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Parametri configurabili per orientare la rilevanza degli hot topic (ambiti tematici, parole chiave, fonti preferite)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RF-AI-04</w:t>
            </w:r>
          </w:p>
        </w:tc>
        <w:tc>
          <w:tcPr>
            <w:tcW w:type="dxa" w:w="297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Generazione assistita da hot topic</w:t>
            </w:r>
          </w:p>
        </w:tc>
        <w:tc>
          <w:tcPr>
            <w:tcW w:type="dxa" w:w="425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Da un hot topic selezionato, generazione di una bozza di articolo: proposta di titolo, occhiello, corpo, tag suggeriti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RF-AI-05</w:t>
            </w:r>
          </w:p>
        </w:tc>
        <w:tc>
          <w:tcPr>
            <w:tcW w:type="dxa" w:w="297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Generazione assistita da brief</w:t>
            </w:r>
          </w:p>
        </w:tc>
        <w:tc>
          <w:tcPr>
            <w:tcW w:type="dxa" w:w="425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Generazione di una bozza a partire da un brief libero inserito dal redattore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RF-AI-06</w:t>
            </w:r>
          </w:p>
        </w:tc>
        <w:tc>
          <w:tcPr>
            <w:tcW w:type="dxa" w:w="297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Assistenza all'editing</w:t>
            </w:r>
          </w:p>
        </w:tc>
        <w:tc>
          <w:tcPr>
            <w:tcW w:type="dxa" w:w="425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Strumenti AI sul testo esistente: riscrittura, sintesi, proposte di titoli alternativi, suggerimenti SEO on-page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RF-AI-07</w:t>
            </w:r>
          </w:p>
        </w:tc>
        <w:tc>
          <w:tcPr>
            <w:tcW w:type="dxa" w:w="297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Immagini assistite</w:t>
            </w:r>
          </w:p>
        </w:tc>
        <w:tc>
          <w:tcPr>
            <w:tcW w:type="dxa" w:w="425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Generazione o proposta di immagini per l'articolo tramite provider esterno a consumo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RF-AI-08</w:t>
            </w:r>
          </w:p>
        </w:tc>
        <w:tc>
          <w:tcPr>
            <w:tcW w:type="dxa" w:w="297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Stato bozza obbligatorio</w:t>
            </w:r>
          </w:p>
        </w:tc>
        <w:tc>
          <w:tcPr>
            <w:tcW w:type="dxa" w:w="425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 contenuti generati entrano sempre nello stato "bozza" del workflow (RF-B-05), attribuiti al redattore richiedente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RF-AI-09</w:t>
            </w:r>
          </w:p>
        </w:tc>
        <w:tc>
          <w:tcPr>
            <w:tcW w:type="dxa" w:w="297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Configurazione provider</w:t>
            </w:r>
          </w:p>
        </w:tc>
        <w:tc>
          <w:tcPr>
            <w:tcW w:type="dxa" w:w="425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Gestione da backoffice (solo Amministratore) delle chiavi API dei provider, intestate al Committente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RF-AI-10</w:t>
            </w:r>
          </w:p>
        </w:tc>
        <w:tc>
          <w:tcPr>
            <w:tcW w:type="dxa" w:w="297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Visibilità consumi</w:t>
            </w:r>
          </w:p>
        </w:tc>
        <w:tc>
          <w:tcPr>
            <w:tcW w:type="dxa" w:w="425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Indicazione dei consumi/chiamate API effettuate dalla piattaforma, per il monitoraggio dei costi a carico del Committente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RF-AI-11</w:t>
            </w:r>
          </w:p>
        </w:tc>
        <w:tc>
          <w:tcPr>
            <w:tcW w:type="dxa" w:w="297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Tracciabilità AI</w:t>
            </w:r>
          </w:p>
        </w:tc>
        <w:tc>
          <w:tcPr>
            <w:tcW w:type="dxa" w:w="425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Marcatura interna degli articoli con origine assistita AI (a fini redazionali e di eventuale compliance)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Should</w:t>
            </w:r>
          </w:p>
        </w:tc>
      </w:tr>
    </w:tbl>
    <w:p>
      <w:pPr>
        <w:spacing w:after="60"/>
      </w:pPr>
    </w:p>
    <w:p>
      <w:pPr>
        <w:pBdr>
          <w:bottom w:val="single" w:color="D0D7DE" w:sz="4"/>
        </w:pBdr>
        <w:spacing w:after="120" w:before="120"/>
      </w:pPr>
    </w:p>
    <w:p>
      <w:pPr>
        <w:pStyle w:val="Heading1"/>
      </w:pPr>
      <w:r>
        <w:t xml:space="preserve">4. Requisiti non funzionali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9"/>
        <w:gridCol w:w="5029"/>
        <w:gridCol w:w="1200"/>
      </w:tblGrid>
      <w:tr>
        <w:trPr>
          <w:tblHeader/>
        </w:trP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2E74B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20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2E74B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Requisito</w:t>
            </w:r>
          </w:p>
        </w:tc>
        <w:tc>
          <w:tcPr>
            <w:tcW w:type="dxa" w:w="502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2E74B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2E74B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Priorità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RNF-01</w:t>
            </w:r>
          </w:p>
        </w:tc>
        <w:tc>
          <w:tcPr>
            <w:tcW w:type="dxa" w:w="220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Prestazioni</w:t>
            </w:r>
          </w:p>
        </w:tc>
        <w:tc>
          <w:tcPr>
            <w:tcW w:type="dxa" w:w="502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Tempi di caricamento delle pagine pubbliche adeguati agli standard web correnti (ottimizzazione immagini, caching, Core Web Vitals come riferimento)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RNF-02</w:t>
            </w:r>
          </w:p>
        </w:tc>
        <w:tc>
          <w:tcPr>
            <w:tcW w:type="dxa" w:w="220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Scalabilità</w:t>
            </w:r>
          </w:p>
        </w:tc>
        <w:tc>
          <w:tcPr>
            <w:tcW w:type="dxa" w:w="502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Architettura in grado di sostenere la crescita di traffico e contenuti, compatibilmente con l'infrastruttura scelta dal Committente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RNF-03</w:t>
            </w:r>
          </w:p>
        </w:tc>
        <w:tc>
          <w:tcPr>
            <w:tcW w:type="dxa" w:w="220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Sicurezza applicativa</w:t>
            </w:r>
          </w:p>
        </w:tc>
        <w:tc>
          <w:tcPr>
            <w:tcW w:type="dxa" w:w="502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Protezioni contro le vulnerabilità comuni (riferimento OWASP Top 10), HTTPS, password cifrate, protezione del backoffice, rate limiting sulle API sensibili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RNF-04</w:t>
            </w:r>
          </w:p>
        </w:tc>
        <w:tc>
          <w:tcPr>
            <w:tcW w:type="dxa" w:w="220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Privacy e GDPR</w:t>
            </w:r>
          </w:p>
        </w:tc>
        <w:tc>
          <w:tcPr>
            <w:tcW w:type="dxa" w:w="502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Trattamento dei dati degli utenti conforme al GDPR: consensi, informative richiamate nel portale, cancellazione account (RF-C-07). I testi legali (privacy/cookie policy) sono forniti dal Committente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RNF-05</w:t>
            </w:r>
          </w:p>
        </w:tc>
        <w:tc>
          <w:tcPr>
            <w:tcW w:type="dxa" w:w="220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Compatibilità</w:t>
            </w:r>
          </w:p>
        </w:tc>
        <w:tc>
          <w:tcPr>
            <w:tcW w:type="dxa" w:w="502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Supporto delle versioni recenti dei principali browser desktop e mobile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RNF-06</w:t>
            </w:r>
          </w:p>
        </w:tc>
        <w:tc>
          <w:tcPr>
            <w:tcW w:type="dxa" w:w="220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Usabilità backoffice</w:t>
            </w:r>
          </w:p>
        </w:tc>
        <w:tc>
          <w:tcPr>
            <w:tcW w:type="dxa" w:w="502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Backoffice utilizzabile senza formazione tecnica specifica da parte della redazione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RNF-07</w:t>
            </w:r>
          </w:p>
        </w:tc>
        <w:tc>
          <w:tcPr>
            <w:tcW w:type="dxa" w:w="220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Accessibilità</w:t>
            </w:r>
          </w:p>
        </w:tc>
        <w:tc>
          <w:tcPr>
            <w:tcW w:type="dxa" w:w="502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Buone pratiche di accessibilità di base sul portale pubblico (semantica HTML, contrasti, testi alternativi)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RNF-08</w:t>
            </w:r>
          </w:p>
        </w:tc>
        <w:tc>
          <w:tcPr>
            <w:tcW w:type="dxa" w:w="220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Logging e diagnostica</w:t>
            </w:r>
          </w:p>
        </w:tc>
        <w:tc>
          <w:tcPr>
            <w:tcW w:type="dxa" w:w="502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Log applicativi per la diagnosi di errori e il tracciamento delle operazioni rilevanti del backoffice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RNF-09</w:t>
            </w:r>
          </w:p>
        </w:tc>
        <w:tc>
          <w:tcPr>
            <w:tcW w:type="dxa" w:w="220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Lingua</w:t>
            </w:r>
          </w:p>
        </w:tc>
        <w:tc>
          <w:tcPr>
            <w:tcW w:type="dxa" w:w="502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Piattaforma e contenuti in lingua italiana; il multilingua è fuori perimetro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RNF-10</w:t>
            </w:r>
          </w:p>
        </w:tc>
        <w:tc>
          <w:tcPr>
            <w:tcW w:type="dxa" w:w="220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Degrado controllato AI</w:t>
            </w:r>
          </w:p>
        </w:tc>
        <w:tc>
          <w:tcPr>
            <w:tcW w:type="dxa" w:w="5029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L'indisponibilità dei servizi AI esterni non deve compromettere portale, community e backoffice: le funzioni AI si disattivano con messaggio informativo</w:t>
            </w:r>
          </w:p>
        </w:tc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Must</w:t>
            </w:r>
          </w:p>
        </w:tc>
      </w:tr>
    </w:tbl>
    <w:p>
      <w:pPr>
        <w:spacing w:after="60"/>
      </w:pPr>
    </w:p>
    <w:p>
      <w:pPr>
        <w:pBdr>
          <w:bottom w:val="single" w:color="D0D7DE" w:sz="4"/>
        </w:pBdr>
        <w:spacing w:after="120" w:before="120"/>
      </w:pPr>
    </w:p>
    <w:p>
      <w:pPr>
        <w:pStyle w:val="Heading1"/>
      </w:pPr>
      <w:r>
        <w:t xml:space="preserve">5. Integrazioni esterne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34"/>
        <w:gridCol w:w="3458"/>
        <w:gridCol w:w="4046"/>
      </w:tblGrid>
      <w:tr>
        <w:trPr>
          <w:tblHeader/>
        </w:trPr>
        <w:tc>
          <w:tcPr>
            <w:tcW w:type="dxa" w:w="2134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2E74B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Integrazione</w:t>
            </w:r>
          </w:p>
        </w:tc>
        <w:tc>
          <w:tcPr>
            <w:tcW w:type="dxa" w:w="3458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2E74B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Ruolo</w:t>
            </w:r>
          </w:p>
        </w:tc>
        <w:tc>
          <w:tcPr>
            <w:tcW w:type="dxa" w:w="4046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2E74B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 contrattuali</w:t>
            </w:r>
          </w:p>
        </w:tc>
      </w:tr>
      <w:tr>
        <w:tc>
          <w:tcPr>
            <w:tcW w:type="dxa" w:w="2134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Provider LLM</w:t>
            </w:r>
          </w:p>
        </w:tc>
        <w:tc>
          <w:tcPr>
            <w:tcW w:type="dxa" w:w="3458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Generazione assistita di testi (RF-AI-04/05/06)</w:t>
            </w:r>
          </w:p>
        </w:tc>
        <w:tc>
          <w:tcPr>
            <w:tcW w:type="dxa" w:w="4046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 consumo, fatturato direttamente al Committente (V-02)</w:t>
            </w:r>
          </w:p>
        </w:tc>
      </w:tr>
      <w:tr>
        <w:tc>
          <w:tcPr>
            <w:tcW w:type="dxa" w:w="2134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Provider generazione immagini</w:t>
            </w:r>
          </w:p>
        </w:tc>
        <w:tc>
          <w:tcPr>
            <w:tcW w:type="dxa" w:w="3458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Immagini assistite (RF-AI-07)</w:t>
            </w:r>
          </w:p>
        </w:tc>
        <w:tc>
          <w:tcPr>
            <w:tcW w:type="dxa" w:w="4046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 consumo, a carico del Committente</w:t>
            </w:r>
          </w:p>
        </w:tc>
      </w:tr>
      <w:tr>
        <w:tc>
          <w:tcPr>
            <w:tcW w:type="dxa" w:w="2134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Fonti news / trend</w:t>
            </w:r>
          </w:p>
        </w:tc>
        <w:tc>
          <w:tcPr>
            <w:tcW w:type="dxa" w:w="3458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Ingestione per hot topic (RF-AI-01/02)</w:t>
            </w:r>
          </w:p>
        </w:tc>
        <w:tc>
          <w:tcPr>
            <w:tcW w:type="dxa" w:w="4046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API di terze parti a consumo, a carico del Committente</w:t>
            </w:r>
          </w:p>
        </w:tc>
      </w:tr>
      <w:tr>
        <w:tc>
          <w:tcPr>
            <w:tcW w:type="dxa" w:w="2134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Hosting / cloud</w:t>
            </w:r>
          </w:p>
        </w:tc>
        <w:tc>
          <w:tcPr>
            <w:tcW w:type="dxa" w:w="3458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Esercizio della piattaforma</w:t>
            </w:r>
          </w:p>
        </w:tc>
        <w:tc>
          <w:tcPr>
            <w:tcW w:type="dxa" w:w="4046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Infrastruttura a carico del Committente (V-02)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La scelta puntuale dei provider e la titolarità degli account/chiavi API sono definite in fase di kick-off; le chiavi sono intestate al Committente.</w:t>
      </w:r>
    </w:p>
    <w:p>
      <w:pPr>
        <w:pBdr>
          <w:bottom w:val="single" w:color="D0D7DE" w:sz="4"/>
        </w:pBdr>
        <w:spacing w:after="120" w:before="120"/>
      </w:pPr>
    </w:p>
    <w:p>
      <w:pPr>
        <w:pStyle w:val="Heading1"/>
      </w:pPr>
      <w:r>
        <w:t xml:space="preserve">6. Fuori perimetro (Won't — questa fase)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Produzione di contenuti editoriali e attività redazionali (V-04)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Strategia SEO avanzata: keyword research, content strategy, link building, ottimizzazione continuativa (V-03)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Manutenzione evolutiva e correttiva successiva al rilascio (V-05, oggetto di offerta separata)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Hosting, infrastruttura cloud e costi API a consumo (V-02)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 mobile native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Multilingua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Monetizzazione (advertising, abbonamenti, paywall)</w:t>
      </w:r>
    </w:p>
    <w:p>
      <w:pPr>
        <w:pBdr>
          <w:bottom w:val="single" w:color="D0D7DE" w:sz="4"/>
        </w:pBdr>
        <w:spacing w:after="120" w:before="120"/>
      </w:pPr>
    </w:p>
    <w:p>
      <w:pPr>
        <w:pStyle w:val="Heading1"/>
      </w:pPr>
      <w:r>
        <w:t xml:space="preserve">7. Criteri di accettazione e collaudo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Ambiente funzionante e operativo</w:t>
      </w:r>
      <w:r>
        <w:t xml:space="preserve">: alla consegna finale il Fornitore mette a disposizione un ambiente pienamente utilizzabile della piattaforma (offerta, punto 8).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Copertura funzionale</w:t>
      </w:r>
      <w:r>
        <w:t xml:space="preserve">: verifica congiunta dei requisiti "Must" del presente documento tramite casi di test concordati per ciascun macro-modulo (portale, community, backoffice, AI).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Test e messa in esercizio</w:t>
      </w:r>
      <w:r>
        <w:t xml:space="preserve">: inclusi nella consegna entro il termine di cui a V-01.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Verbale di collaudo</w:t>
      </w:r>
      <w:r>
        <w:t xml:space="preserve">: l'esito positivo delle verifiche è formalizzato e attiva la milestone di consegna finale (offerta, punto 5).</w:t>
      </w:r>
    </w:p>
    <w:p>
      <w:pPr>
        <w:spacing w:after="120"/>
      </w:pPr>
      <w:r>
        <w:t xml:space="preserve">Le modalità operative di collaudo (durata della finestra di verifica, gestione delle anomalie bloccanti/non bloccanti) sono definite in fase di kick-off.</w:t>
      </w:r>
    </w:p>
    <w:p>
      <w:pPr>
        <w:pBdr>
          <w:bottom w:val="single" w:color="D0D7DE" w:sz="4"/>
        </w:pBdr>
        <w:spacing w:after="120" w:before="120"/>
      </w:pPr>
    </w:p>
    <w:p>
      <w:pPr>
        <w:spacing w:after="120"/>
      </w:pPr>
      <w:r>
        <w:rPr>
          <w:i/>
          <w:iCs/>
        </w:rPr>
        <w:t xml:space="preserve">Documento redatto da Blusail Technologies S.r.l.s. — bozza soggetta a revisione congiunta con il Committente. Le priorità saranno consolidate nel verbale di kick-off e nel cronoprogramma di dettaglio.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Blusail Technologies S.r.l.s. — Analisi dei Requisiti Esperia — Pag.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</w:pPr>
    <w:rPr>
      <w:rFonts w:ascii="Calibri" w:cs="Calibri" w:eastAsia="Calibri" w:hAnsi="Calibr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2026-08-04T08:16:36.735Z</dcterms:created>
  <dcterms:modified xsi:type="dcterms:W3CDTF">2026-08-04T08:16:36.753Z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