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b/>
          <w:sz w:val="24"/>
        </w:rPr>
        <w:t>Marie-Hélène Delfau-Larue, MD, PhD</w:t>
      </w:r>
    </w:p>
    <w:p>
      <w:pPr>
        <w:spacing w:after="0"/>
      </w:pPr>
      <w:r>
        <w:rPr>
          <w:rFonts w:ascii="Times New Roman" w:hAnsi="Times New Roman"/>
          <w:sz w:val="24"/>
        </w:rPr>
        <w:t>Head, Department of Biological Immunology</w:t>
      </w:r>
    </w:p>
    <w:p>
      <w:pPr>
        <w:spacing w:after="0"/>
      </w:pPr>
      <w:r>
        <w:rPr>
          <w:rFonts w:ascii="Times New Roman" w:hAnsi="Times New Roman"/>
          <w:sz w:val="24"/>
        </w:rPr>
        <w:t>Hôpital Henri-Mondor, AP-HP</w:t>
      </w:r>
    </w:p>
    <w:p>
      <w:pPr>
        <w:spacing w:after="0"/>
      </w:pPr>
      <w:r>
        <w:rPr>
          <w:rFonts w:ascii="Times New Roman" w:hAnsi="Times New Roman"/>
          <w:sz w:val="24"/>
        </w:rPr>
        <w:t>Université Paris-Est Créteil (UPEC), INSERM U955</w:t>
      </w:r>
    </w:p>
    <w:p>
      <w:pPr>
        <w:spacing w:after="0"/>
      </w:pPr>
      <w:r>
        <w:rPr>
          <w:rFonts w:ascii="Times New Roman" w:hAnsi="Times New Roman"/>
          <w:sz w:val="24"/>
        </w:rPr>
        <w:t>51 avenue du Maréchal de Lattre de Tassigny</w:t>
      </w:r>
    </w:p>
    <w:p>
      <w:pPr>
        <w:spacing w:after="0"/>
      </w:pPr>
      <w:r>
        <w:rPr>
          <w:rFonts w:ascii="Times New Roman" w:hAnsi="Times New Roman"/>
          <w:sz w:val="24"/>
        </w:rPr>
        <w:t>94010 Créteil, France</w:t>
      </w:r>
    </w:p>
    <w:p>
      <w:pPr>
        <w:spacing w:after="0"/>
      </w:pPr>
      <w:r>
        <w:rPr>
          <w:rFonts w:ascii="Times New Roman" w:hAnsi="Times New Roman"/>
          <w:sz w:val="24"/>
        </w:rPr>
        <w:t>marie-helene.delfau@aphp.fr | +33 1 49 81 28 33</w:t>
      </w:r>
    </w:p>
    <w:p>
      <w:pPr>
        <w:spacing w:after="120"/>
      </w:pPr>
    </w:p>
    <w:p>
      <w:pPr>
        <w:spacing w:after="0"/>
        <w:jc w:val="right"/>
      </w:pPr>
      <w:r>
        <w:rPr>
          <w:rFonts w:ascii="Times New Roman" w:hAnsi="Times New Roman"/>
          <w:sz w:val="24"/>
        </w:rPr>
        <w:t>29 May 2026</w:t>
      </w:r>
    </w:p>
    <w:p>
      <w:pPr>
        <w:spacing w:after="12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>The Editor-in-Chief</w:t>
      </w:r>
    </w:p>
    <w:p>
      <w:pPr>
        <w:spacing w:after="0"/>
      </w:pPr>
      <w:r>
        <w:rPr>
          <w:rFonts w:ascii="Times New Roman" w:hAnsi="Times New Roman"/>
          <w:i/>
          <w:sz w:val="24"/>
        </w:rPr>
        <w:t>Blood</w:t>
      </w:r>
    </w:p>
    <w:p>
      <w:pPr>
        <w:spacing w:after="0"/>
      </w:pPr>
      <w:r>
        <w:rPr>
          <w:rFonts w:ascii="Times New Roman" w:hAnsi="Times New Roman"/>
          <w:sz w:val="24"/>
        </w:rPr>
        <w:t>American Society of Hematology</w:t>
      </w:r>
    </w:p>
    <w:p>
      <w:pPr>
        <w:spacing w:after="0"/>
      </w:pPr>
      <w:r>
        <w:rPr>
          <w:rFonts w:ascii="Times New Roman" w:hAnsi="Times New Roman"/>
          <w:sz w:val="24"/>
        </w:rPr>
        <w:t>2021 L Street NW, Suite 900</w:t>
      </w:r>
    </w:p>
    <w:p>
      <w:pPr>
        <w:spacing w:after="0"/>
      </w:pPr>
      <w:r>
        <w:rPr>
          <w:rFonts w:ascii="Times New Roman" w:hAnsi="Times New Roman"/>
          <w:sz w:val="24"/>
        </w:rPr>
        <w:t>Washington, DC 20036, USA</w:t>
      </w:r>
    </w:p>
    <w:p>
      <w:pPr>
        <w:spacing w:after="12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>Re:</w:t>
      </w:r>
      <w:r>
        <w:rPr>
          <w:rFonts w:ascii="Times New Roman" w:hAnsi="Times New Roman"/>
          <w:sz w:val="24"/>
        </w:rPr>
        <w:t xml:space="preserve"> Submission of Regular Article </w:t>
      </w:r>
      <w:r>
        <w:rPr>
          <w:rFonts w:ascii="Times New Roman" w:hAnsi="Times New Roman"/>
          <w:i/>
          <w:sz w:val="24"/>
        </w:rPr>
        <w:t>"Day-14 ctDNA joint latent class modeling stratifies risk in transplant-ineligible R/R large B-cell lymphoma after axi-cel"</w:t>
      </w:r>
      <w:r>
        <w:rPr>
          <w:rFonts w:ascii="Times New Roman" w:hAnsi="Times New Roman"/>
          <w:sz w:val="24"/>
        </w:rPr>
        <w:t xml:space="preserve"> (Lymphoid Neoplasia)</w:t>
      </w:r>
    </w:p>
    <w:p>
      <w:pPr>
        <w:spacing w:after="120"/>
      </w:pPr>
    </w:p>
    <w:p>
      <w:pPr>
        <w:spacing w:after="0"/>
      </w:pPr>
      <w:r>
        <w:rPr>
          <w:rFonts w:ascii="Times New Roman" w:hAnsi="Times New Roman"/>
          <w:sz w:val="24"/>
        </w:rPr>
        <w:t>Dear Editor,</w:t>
      </w:r>
    </w:p>
    <w:p>
      <w:pPr>
        <w:spacing w:after="120"/>
      </w:pPr>
    </w:p>
    <w:p>
      <w:pPr>
        <w:spacing w:after="0"/>
      </w:pPr>
      <w:r>
        <w:rPr>
          <w:rFonts w:ascii="Times New Roman" w:hAnsi="Times New Roman"/>
          <w:sz w:val="24"/>
        </w:rPr>
        <w:t xml:space="preserve">We are pleased to submit for your consideration the enclosed Regular Article reporting the biomarker substudy of ALYCANTE (ClinicalTrials.gov NCT04531046), the LYSARC-sponsored academic phase 2 trial that evaluated axicabtagene ciloleucel (axi-cel) as second-line therapy in transplant-ineligible patients with relapsed/refractory large B-cell lymphoma (R/R LBCL). This manuscript is the </w:t>
      </w:r>
      <w:r>
        <w:rPr>
          <w:rFonts w:ascii="Times New Roman" w:hAnsi="Times New Roman"/>
          <w:b/>
          <w:sz w:val="24"/>
        </w:rPr>
        <w:t>biomarker companion</w:t>
      </w:r>
      <w:r>
        <w:rPr>
          <w:rFonts w:ascii="Times New Roman" w:hAnsi="Times New Roman"/>
          <w:sz w:val="24"/>
        </w:rPr>
        <w:t xml:space="preserve"> to the trial's final analysis (Houot et al., </w:t>
      </w:r>
      <w:r>
        <w:rPr>
          <w:rFonts w:ascii="Times New Roman" w:hAnsi="Times New Roman"/>
          <w:i/>
          <w:sz w:val="24"/>
        </w:rPr>
        <w:t>Journal of Clinical Oncology</w:t>
      </w:r>
      <w:r>
        <w:rPr>
          <w:rFonts w:ascii="Times New Roman" w:hAnsi="Times New Roman"/>
          <w:sz w:val="24"/>
        </w:rPr>
        <w:t xml:space="preserve"> 2026; currently in revision), itself the update of the primary report (Houot et al., </w:t>
      </w:r>
      <w:r>
        <w:rPr>
          <w:rFonts w:ascii="Times New Roman" w:hAnsi="Times New Roman"/>
          <w:i/>
          <w:sz w:val="24"/>
        </w:rPr>
        <w:t>Nat Med</w:t>
      </w:r>
      <w:r>
        <w:rPr>
          <w:rFonts w:ascii="Times New Roman" w:hAnsi="Times New Roman"/>
          <w:sz w:val="24"/>
        </w:rPr>
        <w:t xml:space="preserve"> 2023, doi:10.1038/s41591-023-02572-5).</w:t>
      </w:r>
    </w:p>
    <w:p>
      <w:pPr>
        <w:spacing w:after="12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>The clinical question we address is well-defined</w:t>
      </w:r>
      <w:r>
        <w:rPr>
          <w:rFonts w:ascii="Times New Roman" w:hAnsi="Times New Roman"/>
          <w:sz w:val="24"/>
        </w:rPr>
        <w:t xml:space="preserve">: among the ~40% of CAR T-cell recipients who will eventually relapse, can we identify them within two weeks of infusion — well before the day-90 PET-CT — to enable risk-adapted intervention? We report that a </w:t>
      </w:r>
      <w:r>
        <w:rPr>
          <w:rFonts w:ascii="Times New Roman" w:hAnsi="Times New Roman"/>
          <w:b/>
          <w:sz w:val="24"/>
        </w:rPr>
        <w:t>joint latent class mixed model (JLCM)</w:t>
      </w:r>
      <w:r>
        <w:rPr>
          <w:rFonts w:ascii="Times New Roman" w:hAnsi="Times New Roman"/>
          <w:sz w:val="24"/>
        </w:rPr>
        <w:t xml:space="preserve"> trained on serial ctDNA dynamics (CAPP-Seq, seven post-infusion timepoints D0 → M12) and deployed at day 14 via </w:t>
      </w:r>
      <w:r>
        <w:rPr>
          <w:rFonts w:ascii="Consolas" w:hAnsi="Consolas"/>
          <w:sz w:val="21"/>
        </w:rPr>
        <w:t>predictClass</w:t>
      </w:r>
      <w:r>
        <w:rPr>
          <w:rFonts w:ascii="Times New Roman" w:hAnsi="Times New Roman"/>
          <w:sz w:val="24"/>
        </w:rPr>
        <w:t xml:space="preserve"> stratifies relapse risk with an EFS hazard ratio of </w:t>
      </w:r>
      <w:r>
        <w:rPr>
          <w:rFonts w:ascii="Times New Roman" w:hAnsi="Times New Roman"/>
          <w:b/>
          <w:sz w:val="24"/>
        </w:rPr>
        <w:t>15.1</w:t>
      </w:r>
      <w:r>
        <w:rPr>
          <w:rFonts w:ascii="Times New Roman" w:hAnsi="Times New Roman"/>
          <w:sz w:val="24"/>
        </w:rPr>
        <w:t xml:space="preserve"> (95% CI 5.1–44.3) and a bootstrap-corrected Harrell C-index of </w:t>
      </w:r>
      <w:r>
        <w:rPr>
          <w:rFonts w:ascii="Times New Roman" w:hAnsi="Times New Roman"/>
          <w:b/>
          <w:sz w:val="24"/>
        </w:rPr>
        <w:t>0.81</w:t>
      </w:r>
      <w:r>
        <w:rPr>
          <w:rFonts w:ascii="Times New Roman" w:hAnsi="Times New Roman"/>
          <w:sz w:val="24"/>
        </w:rPr>
        <w:t xml:space="preserve"> — outperforming day-14 continuous ctDNA, day-28 Frank-style detection, day-14 PET (Deauville ≥4), and month-3 complete metabolic response. The signal generalized in a single-center real-world cohort (Hôpital Henri-Mondor, n = 18; EFS HR 8.32, 95% CI 1.98–34.94). EFS in this substudy is defined as time to lymphoma-specific events (relapse, progression, lymphoma-related death) — a definition aligned with the biological hypothesis that ctDNA tracks lymphoma rather than non-lymphoma mortality.</w:t>
      </w:r>
    </w:p>
    <w:p>
      <w:pPr>
        <w:spacing w:after="120"/>
      </w:pPr>
    </w:p>
    <w:p>
      <w:pPr>
        <w:spacing w:after="0"/>
      </w:pPr>
      <w:r>
        <w:rPr>
          <w:rFonts w:ascii="Times New Roman" w:hAnsi="Times New Roman"/>
          <w:i/>
          <w:sz w:val="24"/>
        </w:rPr>
      </w:r>
      <w:r>
        <w:rPr>
          <w:rFonts w:ascii="Times New Roman" w:hAnsi="Times New Roman"/>
          <w:i/>
          <w:sz w:val="24"/>
        </w:rPr>
        <w:t xml:space="preserve">We believe this work fits </w:t>
      </w:r>
      <w:r>
        <w:rPr>
          <w:rFonts w:ascii="Times New Roman" w:hAnsi="Times New Roman"/>
          <w:sz w:val="24"/>
        </w:rPr>
        <w:t>Blood</w:t>
      </w:r>
      <w:r>
        <w:rPr>
          <w:rFonts w:ascii="Times New Roman" w:hAnsi="Times New Roman"/>
          <w:i/>
          <w:sz w:val="24"/>
        </w:rPr>
        <w:t xml:space="preserve"> for three reasons.</w:t>
      </w:r>
      <w:r>
        <w:rPr>
          <w:rFonts w:ascii="Times New Roman" w:hAnsi="Times New Roman"/>
          <w:i/>
          <w:sz w:val="24"/>
        </w:rPr>
        <w:t xml:space="preserve"> First, the methodological contribution is distinct: rather than thresholding a single ctDNA timepoint, we explicitly model the longitudinal trajectory jointly with the survival outcome, which makes the resulting class deployable at day 14 from a sparse longitudinal prior — the </w:t>
      </w:r>
      <w:r>
        <w:rPr>
          <w:rFonts w:ascii="Times New Roman" w:hAnsi="Times New Roman"/>
          <w:sz w:val="24"/>
        </w:rPr>
        <w:t>train-rich, deploy-early</w:t>
      </w:r>
      <w:r>
        <w:rPr>
          <w:rFonts w:ascii="Times New Roman" w:hAnsi="Times New Roman"/>
          <w:i/>
          <w:sz w:val="24"/>
        </w:rPr>
        <w:t xml:space="preserve"> design. Second, the day-14 readout fills the actionable gap repeatedly identified by the field (Frank et al., </w:t>
      </w:r>
      <w:r>
        <w:rPr>
          <w:rFonts w:ascii="Times New Roman" w:hAnsi="Times New Roman"/>
          <w:sz w:val="24"/>
        </w:rPr>
        <w:t>J Clin Oncol</w:t>
      </w:r>
      <w:r>
        <w:rPr>
          <w:rFonts w:ascii="Times New Roman" w:hAnsi="Times New Roman"/>
          <w:i/>
          <w:sz w:val="24"/>
        </w:rPr>
        <w:t xml:space="preserve"> 2021; Sworder et al., </w:t>
      </w:r>
      <w:r>
        <w:rPr>
          <w:rFonts w:ascii="Times New Roman" w:hAnsi="Times New Roman"/>
          <w:sz w:val="24"/>
        </w:rPr>
        <w:t>Cancer Cell</w:t>
      </w:r>
      <w:r>
        <w:rPr>
          <w:rFonts w:ascii="Times New Roman" w:hAnsi="Times New Roman"/>
          <w:i/>
          <w:sz w:val="24"/>
        </w:rPr>
        <w:t xml:space="preserve"> 2023; Meriranta et al., </w:t>
      </w:r>
      <w:r>
        <w:rPr>
          <w:rFonts w:ascii="Times New Roman" w:hAnsi="Times New Roman"/>
          <w:sz w:val="24"/>
        </w:rPr>
        <w:t xml:space="preserve">Blood* 2022) between infusion and month-3 imaging, when no other biomarker is yet interpretable. Third, the manuscript is supported by a fully reproducible analytic package hosted at </w:t>
      </w:r>
      <w:r>
        <w:rPr>
          <w:rFonts w:ascii="Consolas" w:hAnsi="Consolas"/>
          <w:sz w:val="21"/>
        </w:rPr>
        <w:t>https://github.com/alessiocg/alycante-ctdna-lysarc-2026</w:t>
      </w:r>
      <w:r>
        <w:rPr>
          <w:rFonts w:ascii="Times New Roman" w:hAnsi="Times New Roman"/>
          <w:sz w:val="24"/>
        </w:rPr>
        <w:t xml:space="preserve"> (public, MIT-licensed) containing the 50+ analysis scripts, the trained JLCM model, the aggregate metrics CSVs (Tables 1–2, SuppTables S1–S19), and the 16 figures (Figs 1–5 + SuppFigs S1–S12 + Visual abstract). Patient-level data remain on the AP-HP secure NAS and will be deposited in the LYSARC controlled-access repository upon publication.</w:t>
      </w:r>
    </w:p>
    <w:p>
      <w:pPr>
        <w:spacing w:after="12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>Manuscript metadata</w:t>
      </w:r>
      <w:r>
        <w:rPr>
          <w:rFonts w:ascii="Times New Roman" w:hAnsi="Times New Roman"/>
          <w:sz w:val="24"/>
        </w:rPr>
        <w:t>. Abstract: 247 words (limit 250). Body (Introduction → Discussion): 4 378 words (limit 4 500). References: 31 (citation-order, AMA format). Tables: 2 main + 19 supplemental. Figures: 5 main + 12 supplemental + 1 visual abstract. Key Points: 2 (each ≤ 140 characters).</w:t>
      </w:r>
    </w:p>
    <w:p>
      <w:pPr>
        <w:spacing w:after="12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>Declarations</w:t>
      </w:r>
      <w:r>
        <w:rPr>
          <w:rFonts w:ascii="Times New Roman" w:hAnsi="Times New Roman"/>
          <w:sz w:val="24"/>
        </w:rPr>
        <w:t>. This manuscript has not been published previously and is not under consideration at any other journal; all coauthors have read and approved the present submission. All patient data were collected under the ALYCANTE trial protocol, approved by Comité de Protection des Personnes Sud-Est II (CPP); the substudy was conducted under the same ethics framework. Coauthor disclosures align with those of the parent ALYCANTE paper; no additional conflicts of interest pertain to the biomarker analysis. The work was supported by LYSARC and the AP-HP Department of Biological Immunology.</w:t>
      </w:r>
    </w:p>
    <w:p>
      <w:pPr>
        <w:spacing w:after="120"/>
      </w:pPr>
    </w:p>
    <w:p>
      <w:pPr>
        <w:spacing w:after="0"/>
      </w:pPr>
      <w:r>
        <w:rPr>
          <w:rFonts w:ascii="Times New Roman" w:hAnsi="Times New Roman"/>
          <w:sz w:val="24"/>
        </w:rPr>
        <w:t xml:space="preserve">We would be honored to have this work considered for </w:t>
      </w:r>
      <w:r>
        <w:rPr>
          <w:rFonts w:ascii="Times New Roman" w:hAnsi="Times New Roman"/>
          <w:i/>
          <w:sz w:val="24"/>
        </w:rPr>
        <w:t>Blood</w:t>
      </w:r>
      <w:r>
        <w:rPr>
          <w:rFonts w:ascii="Times New Roman" w:hAnsi="Times New Roman"/>
          <w:sz w:val="24"/>
        </w:rPr>
        <w:t xml:space="preserve"> and stand ready to address any clarification the editorial office or peer reviewers may require.</w:t>
      </w:r>
    </w:p>
    <w:p>
      <w:pPr>
        <w:spacing w:after="120"/>
      </w:pPr>
    </w:p>
    <w:p>
      <w:pPr>
        <w:spacing w:after="0"/>
      </w:pPr>
      <w:r>
        <w:rPr>
          <w:rFonts w:ascii="Times New Roman" w:hAnsi="Times New Roman"/>
          <w:sz w:val="24"/>
        </w:rPr>
        <w:t>Sincerely,</w:t>
      </w:r>
    </w:p>
    <w:p>
      <w:pPr>
        <w:spacing w:after="12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>Marie-Hélène Delfau-Larue</w:t>
      </w:r>
      <w:r>
        <w:rPr>
          <w:rFonts w:ascii="Times New Roman" w:hAnsi="Times New Roman"/>
          <w:sz w:val="24"/>
        </w:rPr>
        <w:t>, MD, PhD</w:t>
      </w:r>
    </w:p>
    <w:p>
      <w:pPr>
        <w:spacing w:after="0"/>
      </w:pPr>
      <w:r>
        <w:rPr>
          <w:rFonts w:ascii="Times New Roman" w:hAnsi="Times New Roman"/>
          <w:sz w:val="24"/>
        </w:rPr>
        <w:t>Corresponding author</w:t>
      </w:r>
    </w:p>
    <w:p>
      <w:pPr>
        <w:spacing w:after="0"/>
      </w:pPr>
      <w:r>
        <w:rPr>
          <w:rFonts w:ascii="Times New Roman" w:hAnsi="Times New Roman"/>
          <w:sz w:val="24"/>
        </w:rPr>
        <w:t>Head, Department of Biological Immunology, Hôpital Henri-Mondor, AP-HP</w:t>
      </w:r>
    </w:p>
    <w:p>
      <w:pPr>
        <w:spacing w:after="120"/>
      </w:pPr>
    </w:p>
    <w:p>
      <w:pPr>
        <w:spacing w:after="0"/>
      </w:pPr>
      <w:r>
        <w:rPr>
          <w:rFonts w:ascii="Times New Roman" w:hAnsi="Times New Roman"/>
          <w:sz w:val="24"/>
        </w:rPr>
        <w:t>on behalf of all coauthors, including: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Alexis Claudel</w:t>
      </w:r>
      <w:r>
        <w:rPr>
          <w:rFonts w:ascii="Times New Roman" w:hAnsi="Times New Roman"/>
          <w:sz w:val="24"/>
        </w:rPr>
        <w:t xml:space="preserve"> (first author; Henri-Mondor Biological Immunology)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Julien Lemoine</w:t>
      </w:r>
      <w:r>
        <w:rPr>
          <w:rFonts w:ascii="Times New Roman" w:hAnsi="Times New Roman"/>
          <w:sz w:val="24"/>
        </w:rPr>
        <w:t xml:space="preserve"> (clinical hematology, AP-HP, Université Paris Cité)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Roch Houot</w:t>
      </w:r>
      <w:r>
        <w:rPr>
          <w:rFonts w:ascii="Times New Roman" w:hAnsi="Times New Roman"/>
          <w:sz w:val="24"/>
        </w:rPr>
        <w:t xml:space="preserve"> (senior author; ALYCANTE principal investigator; CHU Rennes, INSERM UMR 1236, EFS)</w:t>
      </w:r>
    </w:p>
    <w:p>
      <w:pPr>
        <w:spacing w:after="0"/>
      </w:pPr>
      <w:r>
        <w:rPr>
          <w:rFonts w:ascii="Times New Roman" w:hAnsi="Times New Roman"/>
          <w:sz w:val="24"/>
        </w:rPr>
        <w:t>and the ALYCANTE biomarker substudy investigators and the LYSARC.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