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240" w:line="288" w:lineRule="auto"/>
        <w:jc w:val="center"/>
      </w:pPr>
      <w:r>
        <w:rPr>
          <w:rFonts w:ascii="Times New Roman" w:hAnsi="Times New Roman"/>
          <w:b/>
          <w:sz w:val="36"/>
        </w:rPr>
        <w:t>Title page</w:t>
      </w:r>
    </w:p>
    <w:p>
      <w:pPr>
        <w:keepNext/>
        <w:spacing w:before="280" w:after="160" w:line="288" w:lineRule="auto"/>
      </w:pPr>
      <w:r>
        <w:rPr>
          <w:rFonts w:ascii="Times New Roman" w:hAnsi="Times New Roman"/>
          <w:b/>
          <w:sz w:val="28"/>
        </w:rPr>
        <w:t>Title</w:t>
      </w:r>
    </w:p>
    <w:p>
      <w:pPr>
        <w:spacing w:before="0" w:after="120" w:line="480" w:lineRule="auto"/>
        <w:jc w:val="both"/>
      </w:pPr>
      <w:r>
        <w:rPr>
          <w:rFonts w:ascii="Times New Roman" w:hAnsi="Times New Roman"/>
          <w:b w:val="0"/>
          <w:i w:val="0"/>
          <w:sz w:val="24"/>
        </w:rPr>
        <w:t>Day-14 ctDNA joint latent class modeling stratifies risk in transplant-ineligible R/R large B-cell lymphoma after axi-cel</w:t>
      </w:r>
    </w:p>
    <w:p>
      <w:pPr>
        <w:keepNext/>
        <w:spacing w:before="280" w:after="160" w:line="288" w:lineRule="auto"/>
      </w:pPr>
      <w:r>
        <w:rPr>
          <w:rFonts w:ascii="Times New Roman" w:hAnsi="Times New Roman"/>
          <w:b/>
          <w:sz w:val="28"/>
        </w:rPr>
        <w:t>Running title</w:t>
      </w:r>
    </w:p>
    <w:p>
      <w:pPr>
        <w:spacing w:before="0" w:after="120" w:line="480" w:lineRule="auto"/>
        <w:jc w:val="both"/>
      </w:pPr>
      <w:r>
        <w:rPr>
          <w:rFonts w:ascii="Times New Roman" w:hAnsi="Times New Roman"/>
          <w:b w:val="0"/>
          <w:i w:val="0"/>
          <w:sz w:val="24"/>
        </w:rPr>
        <w:t>Day-14 ctDNA-JLCM in R/R LBCL post-CAR-T</w:t>
      </w:r>
    </w:p>
    <w:p>
      <w:pPr>
        <w:keepNext/>
        <w:spacing w:before="280" w:after="160" w:line="288" w:lineRule="auto"/>
      </w:pPr>
      <w:r>
        <w:rPr>
          <w:rFonts w:ascii="Times New Roman" w:hAnsi="Times New Roman"/>
          <w:b/>
          <w:sz w:val="28"/>
        </w:rPr>
        <w:t>Scientific category</w:t>
      </w:r>
    </w:p>
    <w:p>
      <w:pPr>
        <w:spacing w:before="0" w:after="120" w:line="480" w:lineRule="auto"/>
        <w:jc w:val="both"/>
      </w:pPr>
      <w:r>
        <w:rPr>
          <w:rFonts w:ascii="Times New Roman" w:hAnsi="Times New Roman"/>
          <w:b w:val="0"/>
          <w:i w:val="0"/>
          <w:sz w:val="24"/>
        </w:rPr>
        <w:t>Lymphoid Neoplasia — Regular Article</w:t>
      </w:r>
    </w:p>
    <w:p>
      <w:pPr>
        <w:keepNext/>
        <w:spacing w:before="280" w:after="160" w:line="288" w:lineRule="auto"/>
      </w:pPr>
      <w:r>
        <w:rPr>
          <w:rFonts w:ascii="Times New Roman" w:hAnsi="Times New Roman"/>
          <w:b/>
          <w:sz w:val="28"/>
        </w:rPr>
        <w:t>Authors</w:t>
      </w:r>
    </w:p>
    <w:p>
      <w:pPr>
        <w:spacing w:before="0" w:after="120" w:line="480" w:lineRule="auto"/>
        <w:jc w:val="both"/>
      </w:pPr>
      <w:r>
        <w:rPr>
          <w:rFonts w:ascii="Times New Roman" w:hAnsi="Times New Roman"/>
          <w:b w:val="0"/>
          <w:i w:val="0"/>
          <w:sz w:val="24"/>
        </w:rPr>
        <w:t>A. Claudel,</w:t>
      </w:r>
      <w:r>
        <w:rPr>
          <w:rFonts w:ascii="Times New Roman" w:hAnsi="Times New Roman"/>
          <w:b w:val="0"/>
          <w:i w:val="0"/>
          <w:sz w:val="24"/>
          <w:vertAlign w:val="superscript"/>
        </w:rPr>
        <w:t>1</w:t>
      </w:r>
      <w:r>
        <w:rPr>
          <w:rFonts w:ascii="Times New Roman" w:hAnsi="Times New Roman"/>
          <w:b w:val="0"/>
          <w:i w:val="0"/>
          <w:sz w:val="24"/>
        </w:rPr>
        <w:t xml:space="preserve"> J. Lemoine,</w:t>
      </w:r>
      <w:r>
        <w:rPr>
          <w:rFonts w:ascii="Times New Roman" w:hAnsi="Times New Roman"/>
          <w:b w:val="0"/>
          <w:i w:val="0"/>
          <w:sz w:val="24"/>
          <w:vertAlign w:val="superscript"/>
        </w:rPr>
        <w:t>2</w:t>
      </w:r>
      <w:r>
        <w:rPr>
          <w:rFonts w:ascii="Times New Roman" w:hAnsi="Times New Roman"/>
          <w:b w:val="0"/>
          <w:i w:val="0"/>
          <w:sz w:val="24"/>
        </w:rPr>
        <w:t xml:space="preserve"> M.-H. Delfau-Larue,</w:t>
      </w:r>
      <w:r>
        <w:rPr>
          <w:rFonts w:ascii="Times New Roman" w:hAnsi="Times New Roman"/>
          <w:b w:val="0"/>
          <w:i w:val="0"/>
          <w:sz w:val="24"/>
          <w:vertAlign w:val="superscript"/>
        </w:rPr>
        <w:t>1*</w:t>
      </w:r>
      <w:r>
        <w:rPr>
          <w:rFonts w:ascii="Times New Roman" w:hAnsi="Times New Roman"/>
          <w:b w:val="0"/>
          <w:i w:val="0"/>
          <w:sz w:val="24"/>
        </w:rPr>
        <w:t xml:space="preserve"> R. Houot,</w:t>
      </w:r>
      <w:r>
        <w:rPr>
          <w:rFonts w:ascii="Times New Roman" w:hAnsi="Times New Roman"/>
          <w:b w:val="0"/>
          <w:i w:val="0"/>
          <w:sz w:val="24"/>
          <w:vertAlign w:val="superscript"/>
        </w:rPr>
        <w:t>3‡</w:t>
      </w:r>
      <w:r>
        <w:rPr>
          <w:rFonts w:ascii="Times New Roman" w:hAnsi="Times New Roman"/>
          <w:b w:val="0"/>
          <w:i w:val="0"/>
          <w:sz w:val="24"/>
        </w:rPr>
        <w:t xml:space="preserve"> on behalf of the ALYCANTE biomarker substudy investigators and the LYSARC.</w:t>
      </w:r>
    </w:p>
    <w:p>
      <w:pPr>
        <w:spacing w:before="0" w:after="120" w:line="480" w:lineRule="auto"/>
        <w:jc w:val="both"/>
      </w:pPr>
      <w:r>
        <w:rPr>
          <w:rFonts w:ascii="Times New Roman" w:hAnsi="Times New Roman"/>
          <w:b w:val="0"/>
          <w:i w:val="0"/>
          <w:sz w:val="24"/>
          <w:vertAlign w:val="superscript"/>
        </w:rPr>
        <w:t>1</w:t>
      </w:r>
      <w:r>
        <w:rPr>
          <w:rFonts w:ascii="Times New Roman" w:hAnsi="Times New Roman"/>
          <w:b w:val="0"/>
          <w:i w:val="0"/>
          <w:sz w:val="24"/>
        </w:rPr>
        <w:t xml:space="preserve"> Department of Biological Immunology, Hôpital Henri-Mondor, Assistance Publique – Hôpitaux de Paris, Université Paris-Est Créteil (UPEC), INSERM U955, F-94010 Créteil, France. </w:t>
      </w:r>
      <w:r>
        <w:rPr>
          <w:rFonts w:ascii="Times New Roman" w:hAnsi="Times New Roman"/>
          <w:b w:val="0"/>
          <w:i w:val="0"/>
          <w:sz w:val="24"/>
          <w:vertAlign w:val="superscript"/>
        </w:rPr>
        <w:t>2</w:t>
      </w:r>
      <w:r>
        <w:rPr>
          <w:rFonts w:ascii="Times New Roman" w:hAnsi="Times New Roman"/>
          <w:b w:val="0"/>
          <w:i w:val="0"/>
          <w:sz w:val="24"/>
        </w:rPr>
        <w:t xml:space="preserve"> Department of Hematology, AP-HP, Université Paris Cité, Paris, France. </w:t>
      </w:r>
      <w:r>
        <w:rPr>
          <w:rFonts w:ascii="Times New Roman" w:hAnsi="Times New Roman"/>
          <w:b w:val="0"/>
          <w:i w:val="0"/>
          <w:sz w:val="24"/>
          <w:vertAlign w:val="superscript"/>
        </w:rPr>
        <w:t>3</w:t>
      </w:r>
      <w:r>
        <w:rPr>
          <w:rFonts w:ascii="Times New Roman" w:hAnsi="Times New Roman"/>
          <w:b w:val="0"/>
          <w:i w:val="0"/>
          <w:sz w:val="24"/>
        </w:rPr>
        <w:t xml:space="preserve"> Service d'Hématologie Clinique et Thérapie Cellulaire, Univ Rennes, CHU Rennes, INSERM UMR 1236, Établissement Français du Sang, Rennes, France.</w:t>
      </w:r>
    </w:p>
    <w:p>
      <w:pPr>
        <w:spacing w:before="0" w:after="120" w:line="480" w:lineRule="auto"/>
        <w:jc w:val="both"/>
      </w:pPr>
      <w:r>
        <w:rPr>
          <w:rFonts w:ascii="Times New Roman" w:hAnsi="Times New Roman"/>
          <w:b w:val="0"/>
          <w:i w:val="0"/>
          <w:sz w:val="24"/>
        </w:rPr>
        <w:t>Additional authors (alphabetical order, ALYCANTE final-analysis core team): E. Bachy (Lyon Sud), J.-O. Bay (Clermont-Ferrand), C. Bailly (Nantes-Angers), P. Blanc-Durand (Henri-Mondor NM), G. Brisou (Paoli-Calmettes), G. Cartron (Montpellier), O. Casasnovas (Dijon), M. Cheminant (Necker), S. Choquet (Pitié-Salpêtrière), J. Coville (CHU Rennes), R. Duléry (Saint-Antoine), P. Feugier (CHU Nancy), T. Gastinne (CHU Nantes), F.-X. Gros (CHU Bordeaux), E. Itti (Henri-Mondor NM), F. Jardin (Becquerel Rouen), M. Joris (CHU Amiens), C. Laurent (Toulouse anatomopathologie), F. Lemonnier (Henri-Mondor), F. Llamas Gutierrez (CHU Rennes anatomopathologie), F. Morschhauser (CHU Lille), L. Oberic (IUCT Toulouse), X. Palard-Novello (Eugène Marquis Rennes NM), C. Portugues (LYSARC biostat), K. Tarte (CHU Rennes EFS), C. Thieblemont (Saint-Louis), Y. Al Tabaa (Scintidoc Montpellier).</w:t>
      </w:r>
    </w:p>
    <w:p>
      <w:pPr>
        <w:spacing w:before="0" w:after="120" w:line="480" w:lineRule="auto"/>
        <w:jc w:val="both"/>
      </w:pPr>
      <w:r>
        <w:rPr>
          <w:rFonts w:ascii="Times New Roman" w:hAnsi="Times New Roman"/>
          <w:b w:val="0"/>
          <w:i w:val="0"/>
          <w:sz w:val="24"/>
        </w:rPr>
        <w:t>\* Corresponding author (Department of Biological Immunology, Hôpital Henri-Mondor). ‡ Principal investigator, ALYCANTE; senior author.</w:t>
      </w:r>
    </w:p>
    <w:p>
      <w:pPr>
        <w:keepNext/>
        <w:spacing w:before="280" w:after="160" w:line="288" w:lineRule="auto"/>
      </w:pPr>
      <w:r>
        <w:rPr>
          <w:rFonts w:ascii="Times New Roman" w:hAnsi="Times New Roman"/>
          <w:b/>
          <w:sz w:val="28"/>
        </w:rPr>
        <w:t>Corresponding author</w:t>
      </w:r>
    </w:p>
    <w:p>
      <w:pPr>
        <w:spacing w:before="0" w:after="120" w:line="480" w:lineRule="auto"/>
        <w:jc w:val="both"/>
      </w:pPr>
      <w:r>
        <w:rPr>
          <w:rFonts w:ascii="Times New Roman" w:hAnsi="Times New Roman"/>
          <w:b w:val="0"/>
          <w:i w:val="0"/>
          <w:sz w:val="24"/>
        </w:rPr>
        <w:t>Marie-Hélène Delfau-Larue, MD, PhD Head, Department of Biological Immunology Hôpital Henri-Mondor, Assistance Publique – Hôpitaux de Paris Université Paris-Est Créteil (UPEC), INSERM U955 51 avenue du Maréchal de Lattre de Tassigny, 94010 Créteil, France Email: marie-helene.delfau@aphp.fr</w:t>
      </w:r>
    </w:p>
    <w:p>
      <w:pPr>
        <w:keepNext/>
        <w:spacing w:before="280" w:after="160" w:line="288" w:lineRule="auto"/>
      </w:pPr>
      <w:r>
        <w:rPr>
          <w:rFonts w:ascii="Times New Roman" w:hAnsi="Times New Roman"/>
          <w:b/>
          <w:sz w:val="28"/>
        </w:rPr>
        <w:t>Word counts</w:t>
      </w:r>
    </w:p>
    <w:p>
      <w:pPr>
        <w:pStyle w:val="ListBullet"/>
        <w:spacing w:before="20" w:after="40" w:line="360" w:lineRule="auto"/>
      </w:pPr>
      <w:r>
        <w:rPr>
          <w:rFonts w:ascii="Times New Roman" w:hAnsi="Times New Roman"/>
          <w:b w:val="0"/>
          <w:i w:val="0"/>
          <w:sz w:val="24"/>
        </w:rPr>
        <w:t>Abstract: 248 words (structured, four-section; ≤250 Blood limit)</w:t>
      </w:r>
    </w:p>
    <w:p>
      <w:pPr>
        <w:pStyle w:val="ListBullet"/>
        <w:spacing w:before="20" w:after="40" w:line="360" w:lineRule="auto"/>
      </w:pPr>
      <w:r>
        <w:rPr>
          <w:rFonts w:ascii="Times New Roman" w:hAnsi="Times New Roman"/>
          <w:b w:val="0"/>
          <w:i w:val="0"/>
          <w:sz w:val="24"/>
        </w:rPr>
        <w:t>Main text (Introduction through Discussion): 4,182 words (ScholarOne strict count, ≤4,500 Blood limit; 318-word safety margin)</w:t>
      </w:r>
    </w:p>
    <w:p>
      <w:pPr>
        <w:pStyle w:val="ListBullet"/>
        <w:spacing w:before="20" w:after="40" w:line="360" w:lineRule="auto"/>
      </w:pPr>
      <w:r>
        <w:rPr>
          <w:rFonts w:ascii="Times New Roman" w:hAnsi="Times New Roman"/>
          <w:b w:val="0"/>
          <w:i w:val="0"/>
          <w:sz w:val="24"/>
        </w:rPr>
        <w:t>References: 31</w:t>
      </w:r>
    </w:p>
    <w:p>
      <w:pPr>
        <w:pStyle w:val="ListBullet"/>
        <w:spacing w:before="20" w:after="40" w:line="360" w:lineRule="auto"/>
      </w:pPr>
      <w:r>
        <w:rPr>
          <w:rFonts w:ascii="Times New Roman" w:hAnsi="Times New Roman"/>
          <w:b w:val="0"/>
          <w:i w:val="0"/>
          <w:sz w:val="24"/>
        </w:rPr>
        <w:t>Tables: 2</w:t>
      </w:r>
    </w:p>
    <w:p>
      <w:pPr>
        <w:pStyle w:val="ListBullet"/>
        <w:spacing w:before="20" w:after="40" w:line="360" w:lineRule="auto"/>
      </w:pPr>
      <w:r>
        <w:rPr>
          <w:rFonts w:ascii="Times New Roman" w:hAnsi="Times New Roman"/>
          <w:b w:val="0"/>
          <w:i w:val="0"/>
          <w:sz w:val="24"/>
        </w:rPr>
        <w:t>Figures: 5</w:t>
      </w:r>
    </w:p>
    <w:p>
      <w:pPr>
        <w:pStyle w:val="ListBullet"/>
        <w:spacing w:before="20" w:after="40" w:line="360" w:lineRule="auto"/>
      </w:pPr>
      <w:r>
        <w:rPr>
          <w:rFonts w:ascii="Times New Roman" w:hAnsi="Times New Roman"/>
          <w:b w:val="0"/>
          <w:i w:val="0"/>
          <w:sz w:val="24"/>
        </w:rPr>
        <w:t>Supplemental figures: 12; supplemental tables: 19</w:t>
      </w:r>
    </w:p>
    <w:p>
      <w:pPr>
        <w:keepNext/>
        <w:spacing w:before="280" w:after="160" w:line="288" w:lineRule="auto"/>
      </w:pPr>
      <w:r>
        <w:rPr>
          <w:rFonts w:ascii="Times New Roman" w:hAnsi="Times New Roman"/>
          <w:b/>
          <w:sz w:val="28"/>
        </w:rPr>
        <w:t>Supplementary material</w:t>
      </w:r>
    </w:p>
    <w:p>
      <w:pPr>
        <w:spacing w:before="0" w:after="120" w:line="480" w:lineRule="auto"/>
        <w:jc w:val="both"/>
      </w:pPr>
      <w:r>
        <w:rPr>
          <w:rFonts w:ascii="Times New Roman" w:hAnsi="Times New Roman"/>
          <w:b w:val="0"/>
          <w:i w:val="0"/>
          <w:sz w:val="24"/>
        </w:rPr>
        <w:t>12 supplemental figures (S1–S12) and 19 supplemental tables (S1–S19).</w:t>
      </w:r>
    </w:p>
    <w:p>
      <w:pPr>
        <w:keepNext/>
        <w:spacing w:before="280" w:after="160" w:line="288" w:lineRule="auto"/>
      </w:pPr>
      <w:r>
        <w:rPr>
          <w:rFonts w:ascii="Times New Roman" w:hAnsi="Times New Roman"/>
          <w:b/>
          <w:sz w:val="28"/>
        </w:rPr>
        <w:t>Companion paper</w:t>
      </w:r>
    </w:p>
    <w:p>
      <w:pPr>
        <w:spacing w:before="0" w:after="120" w:line="480" w:lineRule="auto"/>
        <w:jc w:val="both"/>
      </w:pPr>
      <w:r>
        <w:rPr>
          <w:rFonts w:ascii="Times New Roman" w:hAnsi="Times New Roman"/>
          <w:b w:val="0"/>
          <w:i w:val="0"/>
          <w:sz w:val="24"/>
        </w:rPr>
        <w:t xml:space="preserve">Houot R, Lemoine J, Claudel A, et al. ALYCANTE final analysis. </w:t>
      </w:r>
      <w:r>
        <w:rPr>
          <w:rFonts w:ascii="Times New Roman" w:hAnsi="Times New Roman"/>
          <w:i/>
          <w:sz w:val="24"/>
        </w:rPr>
        <w:t>J Clin Oncol</w:t>
      </w:r>
      <w:r>
        <w:rPr>
          <w:rFonts w:ascii="Times New Roman" w:hAnsi="Times New Roman"/>
          <w:b w:val="0"/>
          <w:i w:val="0"/>
          <w:sz w:val="24"/>
        </w:rPr>
        <w:t xml:space="preserve"> 2026; in revision (Clinical Trial Updates; data cutoff 13 June 2025).</w:t>
      </w:r>
    </w:p>
    <w:p>
      <w:pPr>
        <w:keepNext/>
        <w:spacing w:before="280" w:after="160" w:line="288" w:lineRule="auto"/>
      </w:pPr>
      <w:r>
        <w:rPr>
          <w:rFonts w:ascii="Times New Roman" w:hAnsi="Times New Roman"/>
          <w:b/>
          <w:sz w:val="28"/>
        </w:rPr>
        <w:t>Data Sharing Statement</w:t>
      </w:r>
    </w:p>
    <w:p>
      <w:pPr>
        <w:spacing w:before="0" w:after="120" w:line="480" w:lineRule="auto"/>
        <w:jc w:val="both"/>
      </w:pPr>
      <w:r>
        <w:rPr>
          <w:rFonts w:ascii="Times New Roman" w:hAnsi="Times New Roman"/>
          <w:b w:val="0"/>
          <w:i w:val="0"/>
          <w:sz w:val="24"/>
        </w:rPr>
        <w:t xml:space="preserve">De-identified individual-patient ctDNA trajectories, Deauville scores, JLCM class assignments, and clinical covariates supporting these findings will be deposited in a controlled-access repository (LYSARC data sharing platform) upon publication. Original analysis code (R </w:t>
      </w:r>
      <w:r>
        <w:rPr>
          <w:rFonts w:ascii="Consolas" w:hAnsi="Consolas"/>
          <w:sz w:val="21"/>
        </w:rPr>
        <w:t>lcmm</w:t>
      </w:r>
      <w:r>
        <w:rPr>
          <w:rFonts w:ascii="Times New Roman" w:hAnsi="Times New Roman"/>
          <w:b w:val="0"/>
          <w:i w:val="0"/>
          <w:sz w:val="24"/>
        </w:rPr>
        <w:t xml:space="preserve">, </w:t>
      </w:r>
      <w:r>
        <w:rPr>
          <w:rFonts w:ascii="Consolas" w:hAnsi="Consolas"/>
          <w:sz w:val="21"/>
        </w:rPr>
        <w:t>survival</w:t>
      </w:r>
      <w:r>
        <w:rPr>
          <w:rFonts w:ascii="Times New Roman" w:hAnsi="Times New Roman"/>
          <w:b w:val="0"/>
          <w:i w:val="0"/>
          <w:sz w:val="24"/>
        </w:rPr>
        <w:t xml:space="preserve">, </w:t>
      </w:r>
      <w:r>
        <w:rPr>
          <w:rFonts w:ascii="Consolas" w:hAnsi="Consolas"/>
          <w:sz w:val="21"/>
        </w:rPr>
        <w:t>coxphf</w:t>
      </w:r>
      <w:r>
        <w:rPr>
          <w:rFonts w:ascii="Times New Roman" w:hAnsi="Times New Roman"/>
          <w:b w:val="0"/>
          <w:i w:val="0"/>
          <w:sz w:val="24"/>
        </w:rPr>
        <w:t xml:space="preserve">; Python </w:t>
      </w:r>
      <w:r>
        <w:rPr>
          <w:rFonts w:ascii="Consolas" w:hAnsi="Consolas"/>
          <w:sz w:val="21"/>
        </w:rPr>
        <w:t>lifelines</w:t>
      </w:r>
      <w:r>
        <w:rPr>
          <w:rFonts w:ascii="Times New Roman" w:hAnsi="Times New Roman"/>
          <w:b w:val="0"/>
          <w:i w:val="0"/>
          <w:sz w:val="24"/>
        </w:rPr>
        <w:t xml:space="preserve">, </w:t>
      </w:r>
      <w:r>
        <w:rPr>
          <w:rFonts w:ascii="Consolas" w:hAnsi="Consolas"/>
          <w:sz w:val="21"/>
        </w:rPr>
        <w:t>scikit-survival</w:t>
      </w:r>
      <w:r>
        <w:rPr>
          <w:rFonts w:ascii="Times New Roman" w:hAnsi="Times New Roman"/>
          <w:b w:val="0"/>
          <w:i w:val="0"/>
          <w:sz w:val="24"/>
        </w:rPr>
        <w:t xml:space="preserve">) is archived at </w:t>
      </w:r>
      <w:r>
        <w:rPr>
          <w:rFonts w:ascii="Consolas" w:hAnsi="Consolas"/>
          <w:sz w:val="21"/>
        </w:rPr>
        <w:t>https://github.com/alessiocg/alycante-ctdna-lysarc-2026</w:t>
      </w:r>
      <w:r>
        <w:rPr>
          <w:rFonts w:ascii="Times New Roman" w:hAnsi="Times New Roman"/>
          <w:b w:val="0"/>
          <w:i w:val="0"/>
          <w:sz w:val="24"/>
        </w:rPr>
        <w:t xml:space="preserve"> (private until publication, public upon acceptance); access for peer reviewers will be granted via a time-limited token included in the cover letter. Requests for de-identified individual participant data should be addressed to the corresponding author and will be reviewed by the LYSARC scientific committee.</w:t>
      </w:r>
    </w:p>
    <w:p>
      <w:pPr>
        <w:spacing w:after="120" w:line="240" w:lineRule="auto"/>
      </w:pPr>
    </w:p>
    <w:p>
      <w:pPr>
        <w:keepNext/>
        <w:spacing w:before="280" w:after="160" w:line="288" w:lineRule="auto"/>
      </w:pPr>
      <w:r>
        <w:rPr>
          <w:rFonts w:ascii="Times New Roman" w:hAnsi="Times New Roman"/>
          <w:b/>
          <w:sz w:val="28"/>
        </w:rPr>
        <w:t>Key Points</w:t>
      </w:r>
    </w:p>
    <w:p>
      <w:pPr>
        <w:pStyle w:val="ListBullet"/>
        <w:spacing w:before="20" w:after="40" w:line="360" w:lineRule="auto"/>
      </w:pPr>
      <w:r>
        <w:rPr>
          <w:rFonts w:ascii="Times New Roman" w:hAnsi="Times New Roman"/>
          <w:b w:val="0"/>
          <w:i w:val="0"/>
          <w:sz w:val="24"/>
        </w:rPr>
        <w:t>A day-14 ctDNA joint latent class classifier stratified R/R LBCL after axi-cel into groups with 100% vs 0% 12-month lymphoma event-free survival.</w:t>
      </w:r>
    </w:p>
    <w:p>
      <w:pPr>
        <w:pStyle w:val="ListBullet"/>
        <w:spacing w:before="20" w:after="40" w:line="360" w:lineRule="auto"/>
      </w:pPr>
      <w:r>
        <w:rPr>
          <w:rFonts w:ascii="Times New Roman" w:hAnsi="Times New Roman"/>
          <w:b w:val="0"/>
          <w:i w:val="0"/>
          <w:sz w:val="24"/>
        </w:rPr>
        <w:t>It was independent of IPI, MTV, and Deauville score, outperformed continuous ctDNA benchmarks, and was confirmed in a real-world cohort.</w:t>
      </w:r>
    </w:p>
    <w:p>
      <w:pPr>
        <w:spacing w:after="120" w:line="240" w:lineRule="auto"/>
      </w:pPr>
    </w:p>
    <w:p>
      <w:pPr>
        <w:keepNext/>
        <w:spacing w:before="280" w:after="160" w:line="288" w:lineRule="auto"/>
      </w:pPr>
      <w:r>
        <w:rPr>
          <w:rFonts w:ascii="Times New Roman" w:hAnsi="Times New Roman"/>
          <w:b/>
          <w:sz w:val="28"/>
        </w:rPr>
        <w:t>Abstract</w:t>
      </w:r>
    </w:p>
    <w:p>
      <w:pPr>
        <w:spacing w:before="0" w:after="120" w:line="480" w:lineRule="auto"/>
        <w:jc w:val="both"/>
      </w:pPr>
      <w:r>
        <w:rPr>
          <w:rFonts w:ascii="Times New Roman" w:hAnsi="Times New Roman"/>
          <w:b/>
          <w:sz w:val="24"/>
        </w:rPr>
        <w:t>Background.</w:t>
      </w:r>
      <w:r>
        <w:rPr>
          <w:rFonts w:ascii="Times New Roman" w:hAnsi="Times New Roman"/>
          <w:b w:val="0"/>
          <w:i w:val="0"/>
          <w:sz w:val="24"/>
        </w:rPr>
        <w:t xml:space="preserve"> About two-thirds of transplant-ineligible R/R LBCL patients have a progression-free survival event within three years of second-line axi-cel (36-month PFS, 37.3%).</w:t>
      </w:r>
      <w:r>
        <w:rPr>
          <w:rFonts w:ascii="Times New Roman" w:hAnsi="Times New Roman"/>
          <w:b w:val="0"/>
          <w:i w:val="0"/>
          <w:sz w:val="24"/>
          <w:vertAlign w:val="superscript"/>
        </w:rPr>
        <w:t>1</w:t>
      </w:r>
      <w:r>
        <w:rPr>
          <w:rFonts w:ascii="Times New Roman" w:hAnsi="Times New Roman"/>
          <w:b w:val="0"/>
          <w:i w:val="0"/>
          <w:sz w:val="24"/>
        </w:rPr>
        <w:t xml:space="preserve"> No molecular biomarker identifies failure within the first two post-infusion weeks; day-14 ¹⁸F-FDG PET is confounded by inflammation.</w:t>
      </w:r>
    </w:p>
    <w:p>
      <w:pPr>
        <w:spacing w:before="0" w:after="120" w:line="480" w:lineRule="auto"/>
        <w:jc w:val="both"/>
      </w:pPr>
      <w:r>
        <w:rPr>
          <w:rFonts w:ascii="Times New Roman" w:hAnsi="Times New Roman"/>
          <w:b/>
          <w:sz w:val="24"/>
        </w:rPr>
        <w:t>Methods.</w:t>
      </w:r>
      <w:r>
        <w:rPr>
          <w:rFonts w:ascii="Times New Roman" w:hAnsi="Times New Roman"/>
          <w:b w:val="0"/>
          <w:i w:val="0"/>
          <w:sz w:val="24"/>
        </w:rPr>
        <w:t xml:space="preserve"> Fifty-seven ALYCANTE patients (48 paired baseline–D14; 9 single-timepoint) with serial CAPP-Seq through month 12 constituted the training set; </w:t>
      </w:r>
      <w:r>
        <w:rPr>
          <w:rFonts w:ascii="Consolas" w:hAnsi="Consolas"/>
          <w:sz w:val="21"/>
        </w:rPr>
        <w:t>Jointlcmm</w:t>
      </w:r>
      <w:r>
        <w:rPr>
          <w:rFonts w:ascii="Times New Roman" w:hAnsi="Times New Roman"/>
          <w:b w:val="0"/>
          <w:i w:val="0"/>
          <w:sz w:val="24"/>
        </w:rPr>
        <w:t xml:space="preserve"> handled missingness under maximum-likelihood. A 2-class joint latent class mixed model (JLCM; seed = 123) was fitted on the full series; day-14 classification used baseline and D14 via </w:t>
      </w:r>
      <w:r>
        <w:rPr>
          <w:rFonts w:ascii="Consolas" w:hAnsi="Consolas"/>
          <w:sz w:val="21"/>
        </w:rPr>
        <w:t>predictClass</w:t>
      </w:r>
      <w:r>
        <w:rPr>
          <w:rFonts w:ascii="Times New Roman" w:hAnsi="Times New Roman"/>
          <w:b w:val="0"/>
          <w:i w:val="0"/>
          <w:sz w:val="24"/>
        </w:rPr>
        <w:t>. The classifier was benchmarked against day-14 log₁₀ hEG, Δlog₁₀ B→D14, and a Frank-style day-28 dichotomy refitted in our cohort. External validation used a Hôpital Henri-Mondor retrospective real-world cohort (n = 18 classifiable).</w:t>
      </w:r>
    </w:p>
    <w:p>
      <w:pPr>
        <w:spacing w:before="0" w:after="120" w:line="480" w:lineRule="auto"/>
        <w:jc w:val="both"/>
      </w:pPr>
      <w:r>
        <w:rPr>
          <w:rFonts w:ascii="Times New Roman" w:hAnsi="Times New Roman"/>
          <w:b/>
          <w:sz w:val="24"/>
        </w:rPr>
        <w:t>Results.</w:t>
      </w:r>
      <w:r>
        <w:rPr>
          <w:rFonts w:ascii="Times New Roman" w:hAnsi="Times New Roman"/>
          <w:b w:val="0"/>
          <w:i w:val="0"/>
          <w:sz w:val="24"/>
        </w:rPr>
        <w:t xml:space="preserve"> Baseline ctDNA was detectable in 50/54 (92.6%); MRD positivity fell to 70.6% (D14) and 20.7% (M12). The day-14 JLCM discriminated lymphoma EFS (HR, 15.1; 5.1-44.3) and OS (HR, 8.4; 3.1-22.8); both </w:t>
      </w:r>
      <w:r>
        <w:rPr>
          <w:rFonts w:ascii="Times New Roman" w:hAnsi="Times New Roman"/>
          <w:i/>
          <w:sz w:val="24"/>
        </w:rPr>
        <w:t>P</w:t>
      </w:r>
      <w:r>
        <w:rPr>
          <w:rFonts w:ascii="Times New Roman" w:hAnsi="Times New Roman"/>
          <w:b w:val="0"/>
          <w:i w:val="0"/>
          <w:sz w:val="24"/>
        </w:rPr>
        <w:t xml:space="preserve"> &lt; .001. Bootstrap-corrected univariable C-index was </w:t>
      </w:r>
      <w:r>
        <w:rPr>
          <w:rFonts w:ascii="Times New Roman" w:hAnsi="Times New Roman"/>
          <w:b/>
          <w:sz w:val="24"/>
        </w:rPr>
        <w:t>0.81 (0.76-0.86)</w:t>
      </w:r>
      <w:r>
        <w:rPr>
          <w:rFonts w:ascii="Times New Roman" w:hAnsi="Times New Roman"/>
          <w:b w:val="0"/>
          <w:i w:val="0"/>
          <w:sz w:val="24"/>
        </w:rPr>
        <w:t xml:space="preserve"> EFS and </w:t>
      </w:r>
      <w:r>
        <w:rPr>
          <w:rFonts w:ascii="Times New Roman" w:hAnsi="Times New Roman"/>
          <w:b/>
          <w:sz w:val="24"/>
        </w:rPr>
        <w:t>0.79 (0.71-0.87)</w:t>
      </w:r>
      <w:r>
        <w:rPr>
          <w:rFonts w:ascii="Times New Roman" w:hAnsi="Times New Roman"/>
          <w:b w:val="0"/>
          <w:i w:val="0"/>
          <w:sz w:val="24"/>
        </w:rPr>
        <w:t xml:space="preserve"> OS, exceeding log₁₀ hEG D14 (0.59), Δlog₁₀ (0.62), and Frank-style D28 (0.64). Day-14 Deauville ≥4 was not prognostic (C-index, 0.51). External validation confirmed the separation (EFS HR, 8.32; 1.98-34.94; </w:t>
      </w:r>
      <w:r>
        <w:rPr>
          <w:rFonts w:ascii="Times New Roman" w:hAnsi="Times New Roman"/>
          <w:i/>
          <w:sz w:val="24"/>
        </w:rPr>
        <w:t>P</w:t>
      </w:r>
      <w:r>
        <w:rPr>
          <w:rFonts w:ascii="Times New Roman" w:hAnsi="Times New Roman"/>
          <w:b w:val="0"/>
          <w:i w:val="0"/>
          <w:sz w:val="24"/>
        </w:rPr>
        <w:t xml:space="preserve"> &lt; .001).</w:t>
      </w:r>
    </w:p>
    <w:p>
      <w:pPr>
        <w:spacing w:before="0" w:after="120" w:line="480" w:lineRule="auto"/>
        <w:jc w:val="both"/>
      </w:pPr>
      <w:r>
        <w:rPr>
          <w:rFonts w:ascii="Times New Roman" w:hAnsi="Times New Roman"/>
          <w:b/>
          <w:sz w:val="24"/>
        </w:rPr>
        <w:t>Conclusions.</w:t>
      </w:r>
      <w:r>
        <w:rPr>
          <w:rFonts w:ascii="Times New Roman" w:hAnsi="Times New Roman"/>
          <w:b w:val="0"/>
          <w:i w:val="0"/>
          <w:sz w:val="24"/>
        </w:rPr>
        <w:t xml:space="preserve"> Day-14 joint latent class modeling of plasma ctDNA identifies a high-risk subgroup with near-universal one-year relapse, supplying a candidate stratification tool for prospective biomarker-guided early-intensification trials.</w:t>
      </w:r>
    </w:p>
    <w:p>
      <w:pPr>
        <w:spacing w:after="120" w:line="240" w:lineRule="auto"/>
      </w:pPr>
    </w:p>
    <w:p>
      <w:pPr>
        <w:keepNext/>
        <w:spacing w:before="280" w:after="160" w:line="288" w:lineRule="auto"/>
      </w:pPr>
      <w:r>
        <w:rPr>
          <w:rFonts w:ascii="Times New Roman" w:hAnsi="Times New Roman"/>
          <w:b/>
          <w:sz w:val="28"/>
        </w:rPr>
        <w:t>Introduction</w:t>
      </w:r>
    </w:p>
    <w:p>
      <w:pPr>
        <w:spacing w:before="0" w:after="120" w:line="480" w:lineRule="auto"/>
        <w:jc w:val="both"/>
      </w:pPr>
      <w:r>
        <w:rPr>
          <w:rFonts w:ascii="Times New Roman" w:hAnsi="Times New Roman"/>
          <w:b w:val="0"/>
          <w:i w:val="0"/>
          <w:sz w:val="24"/>
        </w:rPr>
        <w:t>CD19-directed chimeric antigen receptor (CAR) T-cell therapy has redefined the treatment of relapsed or refractory large B-cell lymphoma (R/R LBCL); up to half of treated patients still relapse within three years.</w:t>
      </w:r>
      <w:r>
        <w:rPr>
          <w:rFonts w:ascii="Times New Roman" w:hAnsi="Times New Roman"/>
          <w:b w:val="0"/>
          <w:i w:val="0"/>
          <w:sz w:val="24"/>
          <w:vertAlign w:val="superscript"/>
        </w:rPr>
        <w:t>1-7</w:t>
      </w:r>
      <w:r>
        <w:rPr>
          <w:rFonts w:ascii="Times New Roman" w:hAnsi="Times New Roman"/>
          <w:b w:val="0"/>
          <w:i w:val="0"/>
          <w:sz w:val="24"/>
        </w:rPr>
        <w:t xml:space="preserve"> For transplant-ineligible patients, the ALYCANTE final analysis confirmed a 71.0% 3-month complete metabolic response and a 36-month PFS of 37.3% after second-line axicabtagene ciloleucel (axi-cel), with outcomes independent of age or hematopoietic cell transplantation comorbidity index.</w:t>
      </w:r>
      <w:r>
        <w:rPr>
          <w:rFonts w:ascii="Times New Roman" w:hAnsi="Times New Roman"/>
          <w:b w:val="0"/>
          <w:i w:val="0"/>
          <w:sz w:val="24"/>
          <w:vertAlign w:val="superscript"/>
        </w:rPr>
        <w:t>1</w:t>
      </w:r>
      <w:r>
        <w:rPr>
          <w:rFonts w:ascii="Times New Roman" w:hAnsi="Times New Roman"/>
          <w:b w:val="0"/>
          <w:i w:val="0"/>
          <w:sz w:val="24"/>
        </w:rPr>
        <w:t xml:space="preserve"> Early identification of patients destined to fail — before clinical or radiologic progression — remains an unmet need, and tools that risk-stratify within the first weeks after infusion are needed to guide biomarker-driven intensification trials.</w:t>
      </w:r>
    </w:p>
    <w:p>
      <w:pPr>
        <w:spacing w:before="0" w:after="120" w:line="480" w:lineRule="auto"/>
        <w:jc w:val="both"/>
      </w:pPr>
      <w:r>
        <w:rPr>
          <w:rFonts w:ascii="Times New Roman" w:hAnsi="Times New Roman"/>
          <w:b w:val="0"/>
          <w:i w:val="0"/>
          <w:sz w:val="24"/>
        </w:rPr>
        <w:t>Plasma circulating tumor DNA (ctDNA) is an established prognostic biomarker in diffuse large B-cell lymphoma. Pretreatment ctDNA correlates with metabolic tumor volume and predicts outcome.</w:t>
      </w:r>
      <w:r>
        <w:rPr>
          <w:rFonts w:ascii="Times New Roman" w:hAnsi="Times New Roman"/>
          <w:b w:val="0"/>
          <w:i w:val="0"/>
          <w:sz w:val="24"/>
          <w:vertAlign w:val="superscript"/>
        </w:rPr>
        <w:t>8-10</w:t>
      </w:r>
      <w:r>
        <w:rPr>
          <w:rFonts w:ascii="Times New Roman" w:hAnsi="Times New Roman"/>
          <w:b w:val="0"/>
          <w:i w:val="0"/>
          <w:sz w:val="24"/>
        </w:rPr>
        <w:t xml:space="preserve"> In CAR-T settings, Frank et al. showed that detectable ctDNA at day 28 after axi-cel identified inferior PFS,</w:t>
      </w:r>
      <w:r>
        <w:rPr>
          <w:rFonts w:ascii="Times New Roman" w:hAnsi="Times New Roman"/>
          <w:b w:val="0"/>
          <w:i w:val="0"/>
          <w:sz w:val="24"/>
          <w:vertAlign w:val="superscript"/>
        </w:rPr>
        <w:t>11</w:t>
      </w:r>
      <w:r>
        <w:rPr>
          <w:rFonts w:ascii="Times New Roman" w:hAnsi="Times New Roman"/>
          <w:b w:val="0"/>
          <w:i w:val="0"/>
          <w:sz w:val="24"/>
        </w:rPr>
        <w:t xml:space="preserve"> Sworder et al. described </w:t>
      </w:r>
      <w:r>
        <w:rPr>
          <w:rFonts w:ascii="Times New Roman" w:hAnsi="Times New Roman"/>
          <w:i/>
          <w:sz w:val="24"/>
        </w:rPr>
        <w:t>TP53</w:t>
      </w:r>
      <w:r>
        <w:rPr>
          <w:rFonts w:ascii="Times New Roman" w:hAnsi="Times New Roman"/>
          <w:b w:val="0"/>
          <w:i w:val="0"/>
          <w:sz w:val="24"/>
        </w:rPr>
        <w:t xml:space="preserve"> and CD19 escape as resistance drivers,</w:t>
      </w:r>
      <w:r>
        <w:rPr>
          <w:rFonts w:ascii="Times New Roman" w:hAnsi="Times New Roman"/>
          <w:b w:val="0"/>
          <w:i w:val="0"/>
          <w:sz w:val="24"/>
          <w:vertAlign w:val="superscript"/>
        </w:rPr>
        <w:t>12</w:t>
      </w:r>
      <w:r>
        <w:rPr>
          <w:rFonts w:ascii="Times New Roman" w:hAnsi="Times New Roman"/>
          <w:b w:val="0"/>
          <w:i w:val="0"/>
          <w:sz w:val="24"/>
        </w:rPr>
        <w:t xml:space="preserve"> Meriranta et al. showed that pretreatment ctDNA, kinetics, and fragmentation each carry independent prognostic information,</w:t>
      </w:r>
      <w:r>
        <w:rPr>
          <w:rFonts w:ascii="Times New Roman" w:hAnsi="Times New Roman"/>
          <w:b w:val="0"/>
          <w:i w:val="0"/>
          <w:sz w:val="24"/>
          <w:vertAlign w:val="superscript"/>
        </w:rPr>
        <w:t>13</w:t>
      </w:r>
      <w:r>
        <w:rPr>
          <w:rFonts w:ascii="Times New Roman" w:hAnsi="Times New Roman"/>
          <w:b w:val="0"/>
          <w:i w:val="0"/>
          <w:sz w:val="24"/>
        </w:rPr>
        <w:t xml:space="preserve"> Zou et al. confirmed superiority of dynamic monitoring over single landmarks,</w:t>
      </w:r>
      <w:r>
        <w:rPr>
          <w:rFonts w:ascii="Times New Roman" w:hAnsi="Times New Roman"/>
          <w:b w:val="0"/>
          <w:i w:val="0"/>
          <w:sz w:val="24"/>
          <w:vertAlign w:val="superscript"/>
        </w:rPr>
        <w:t>14</w:t>
      </w:r>
      <w:r>
        <w:rPr>
          <w:rFonts w:ascii="Times New Roman" w:hAnsi="Times New Roman"/>
          <w:b w:val="0"/>
          <w:i w:val="0"/>
          <w:sz w:val="24"/>
        </w:rPr>
        <w:t xml:space="preserve"> and Stepan et al. recently extended this in TRANSFORM (liso-cel).</w:t>
      </w:r>
      <w:r>
        <w:rPr>
          <w:rFonts w:ascii="Times New Roman" w:hAnsi="Times New Roman"/>
          <w:b w:val="0"/>
          <w:i w:val="0"/>
          <w:sz w:val="24"/>
          <w:vertAlign w:val="superscript"/>
        </w:rPr>
        <w:t>15</w:t>
      </w:r>
      <w:r>
        <w:rPr>
          <w:rFonts w:ascii="Times New Roman" w:hAnsi="Times New Roman"/>
          <w:b w:val="0"/>
          <w:i w:val="0"/>
          <w:sz w:val="24"/>
        </w:rPr>
        <w:t xml:space="preserve"> These studies established the value of single ctDNA landmarks; the kinetic </w:t>
      </w:r>
      <w:r>
        <w:rPr>
          <w:rFonts w:ascii="Times New Roman" w:hAnsi="Times New Roman"/>
          <w:i/>
          <w:sz w:val="24"/>
        </w:rPr>
        <w:t>shape</w:t>
      </w:r>
      <w:r>
        <w:rPr>
          <w:rFonts w:ascii="Times New Roman" w:hAnsi="Times New Roman"/>
          <w:b w:val="0"/>
          <w:i w:val="0"/>
          <w:sz w:val="24"/>
        </w:rPr>
        <w:t xml:space="preserve"> of decay remains underexploited in lymphoma.</w:t>
      </w:r>
    </w:p>
    <w:p>
      <w:pPr>
        <w:spacing w:before="0" w:after="120" w:line="480" w:lineRule="auto"/>
        <w:jc w:val="both"/>
      </w:pPr>
      <w:r>
        <w:rPr>
          <w:rFonts w:ascii="Times New Roman" w:hAnsi="Times New Roman"/>
          <w:b w:val="0"/>
          <w:i w:val="0"/>
          <w:sz w:val="24"/>
        </w:rPr>
        <w:t>Published CAR-T ctDNA classifiers rely on a single post-infusion landmark, typically day 28 or later.</w:t>
      </w:r>
      <w:r>
        <w:rPr>
          <w:rFonts w:ascii="Times New Roman" w:hAnsi="Times New Roman"/>
          <w:b w:val="0"/>
          <w:i w:val="0"/>
          <w:sz w:val="24"/>
          <w:vertAlign w:val="superscript"/>
        </w:rPr>
        <w:t>11,14-15</w:t>
      </w:r>
      <w:r>
        <w:rPr>
          <w:rFonts w:ascii="Times New Roman" w:hAnsi="Times New Roman"/>
          <w:b w:val="0"/>
          <w:i w:val="0"/>
          <w:sz w:val="24"/>
        </w:rPr>
        <w:t xml:space="preserve"> Joint latent class mixed models (JLCMs) cluster patients by longitudinal trajectories and link the latent classes to a time-to-event outcome through shared random effects;</w:t>
      </w:r>
      <w:r>
        <w:rPr>
          <w:rFonts w:ascii="Times New Roman" w:hAnsi="Times New Roman"/>
          <w:b w:val="0"/>
          <w:i w:val="0"/>
          <w:sz w:val="24"/>
          <w:vertAlign w:val="superscript"/>
        </w:rPr>
        <w:t>16-18</w:t>
      </w:r>
      <w:r>
        <w:rPr>
          <w:rFonts w:ascii="Times New Roman" w:hAnsi="Times New Roman"/>
          <w:b w:val="0"/>
          <w:i w:val="0"/>
          <w:sz w:val="24"/>
        </w:rPr>
        <w:t xml:space="preserve"> their use in lymphoma ctDNA dynamics has not, to our knowledge, been reported. The operational gold standard for interim metabolic response remains the Deauville score on ¹⁸F-FDG PET-CT, codified by the Lugano classification.</w:t>
      </w:r>
      <w:r>
        <w:rPr>
          <w:rFonts w:ascii="Times New Roman" w:hAnsi="Times New Roman"/>
          <w:b w:val="0"/>
          <w:i w:val="0"/>
          <w:sz w:val="24"/>
          <w:vertAlign w:val="superscript"/>
        </w:rPr>
        <w:t>19</w:t>
      </w:r>
      <w:r>
        <w:rPr>
          <w:rFonts w:ascii="Times New Roman" w:hAnsi="Times New Roman"/>
          <w:b w:val="0"/>
          <w:i w:val="0"/>
          <w:sz w:val="24"/>
        </w:rPr>
        <w:t xml:space="preserve"> Whether Deauville retains prognostic value at the early day-14 post-CAR-T window has not been systematically tested.</w:t>
      </w:r>
    </w:p>
    <w:p>
      <w:pPr>
        <w:spacing w:before="0" w:after="120" w:line="480" w:lineRule="auto"/>
        <w:jc w:val="both"/>
      </w:pPr>
      <w:r>
        <w:rPr>
          <w:rFonts w:ascii="Times New Roman" w:hAnsi="Times New Roman"/>
          <w:b w:val="0"/>
          <w:i w:val="0"/>
          <w:sz w:val="24"/>
        </w:rPr>
        <w:t>We hypothesized that a JLCM fitted on the complete longitudinal ctDNA series would identify two distinct trajectories, and that the resulting classifier — deployed on baseline and day-14 measurements only — would discriminate event-free survival (EFS) and overall survival (OS). The model was estimated on the full series, while classification at day 14 used only the first two measurements, enabling deployment at the earliest informative landmark. We further benchmarked the day-14 ctDNA-JLCM against (i) two continuous single-marker comparators (day-14 log₁₀ hEG and baseline-to-D14 Δlog₁₀ hEG) to test the incremental value of joint latent class modeling beyond the day-14 absolute value or the early decay slope, and (ii) three PET-derived classifiers at day 14 (Deauville ≥4, Lugano, and a longitudinal JLCM trained on Deauville).</w:t>
      </w:r>
    </w:p>
    <w:p>
      <w:pPr>
        <w:spacing w:after="120" w:line="240" w:lineRule="auto"/>
      </w:pPr>
    </w:p>
    <w:p>
      <w:pPr>
        <w:keepNext/>
        <w:spacing w:before="280" w:after="160" w:line="288" w:lineRule="auto"/>
      </w:pPr>
      <w:r>
        <w:rPr>
          <w:rFonts w:ascii="Times New Roman" w:hAnsi="Times New Roman"/>
          <w:b/>
          <w:sz w:val="28"/>
        </w:rPr>
        <w:t>Methods</w:t>
      </w:r>
    </w:p>
    <w:p>
      <w:pPr>
        <w:keepNext/>
        <w:spacing w:before="200" w:after="120" w:line="288" w:lineRule="auto"/>
      </w:pPr>
      <w:r>
        <w:rPr>
          <w:rFonts w:ascii="Times New Roman" w:hAnsi="Times New Roman"/>
          <w:b/>
          <w:i/>
          <w:sz w:val="26"/>
        </w:rPr>
        <w:t>Study design and patients</w:t>
      </w:r>
    </w:p>
    <w:p>
      <w:pPr>
        <w:spacing w:before="0" w:after="120" w:line="480" w:lineRule="auto"/>
        <w:jc w:val="both"/>
      </w:pPr>
      <w:r>
        <w:rPr>
          <w:rFonts w:ascii="Times New Roman" w:hAnsi="Times New Roman"/>
          <w:b w:val="0"/>
          <w:i w:val="0"/>
          <w:sz w:val="24"/>
        </w:rPr>
        <w:t>ALYCANTE (NCT04531046) is a French multicenter, open-label, single-arm phase 2 trial of second-line axi-cel in transplant-ineligible R/R LBCL; design and primary results have been reported.</w:t>
      </w:r>
      <w:r>
        <w:rPr>
          <w:rFonts w:ascii="Times New Roman" w:hAnsi="Times New Roman"/>
          <w:b w:val="0"/>
          <w:i w:val="0"/>
          <w:sz w:val="24"/>
          <w:vertAlign w:val="superscript"/>
        </w:rPr>
        <w:t>7</w:t>
      </w:r>
      <w:r>
        <w:rPr>
          <w:rFonts w:ascii="Times New Roman" w:hAnsi="Times New Roman"/>
          <w:b w:val="0"/>
          <w:i w:val="0"/>
          <w:sz w:val="24"/>
        </w:rPr>
        <w:t xml:space="preserve"> This biomarker substudy was nested within the ALYCANTE modified full analysis set (mFAS; n = 62; data cutoff 13 June 2025; median follow-up, 37.4 months ALYCANTE FA cohort and 21 months biomarker substudy).</w:t>
      </w:r>
      <w:r>
        <w:rPr>
          <w:rFonts w:ascii="Times New Roman" w:hAnsi="Times New Roman"/>
          <w:b w:val="0"/>
          <w:i w:val="0"/>
          <w:sz w:val="24"/>
          <w:vertAlign w:val="superscript"/>
        </w:rPr>
        <w:t>1</w:t>
      </w:r>
      <w:r>
        <w:rPr>
          <w:rFonts w:ascii="Times New Roman" w:hAnsi="Times New Roman"/>
          <w:b w:val="0"/>
          <w:i w:val="0"/>
          <w:sz w:val="24"/>
        </w:rPr>
        <w:t xml:space="preserve"> Fifty-seven of the 62 mFAS patients had at least one ctDNA timepoint within the first year post-infusion and constituted the training set; the remaining 5 had no exploitable ctDNA measurement (missing day-14 sample, n = 3; technical CAPP-Seq failure, n = 2). Of the 57 training-set patients, 48 had paired baseline and day-14 samples, 6 had baseline only, and 3 had day-14 only; the </w:t>
      </w:r>
      <w:r>
        <w:rPr>
          <w:rFonts w:ascii="Consolas" w:hAnsi="Consolas"/>
          <w:sz w:val="21"/>
        </w:rPr>
        <w:t>Jointlcmm</w:t>
      </w:r>
      <w:r>
        <w:rPr>
          <w:rFonts w:ascii="Times New Roman" w:hAnsi="Times New Roman"/>
          <w:b w:val="0"/>
          <w:i w:val="0"/>
          <w:sz w:val="24"/>
        </w:rPr>
        <w:t xml:space="preserve"> estimator handles missing-at-random data natively under maximum-likelihood and incorporates patients with sparse longitudinal trajectories without imputation. Effective sample sizes at each downstream analytical step are reconciled in supplemental Table S15; the per-timepoint pattern of missingness is detailed in supplemental Table S1. The protocol was approved by the institutional ethics review board and all participants provided written informed consent. The ALYCANTE trial was sponsored by the Lymphoma Study Association Research Consortium (LYSARC) on behalf of the Lymphoma Study Association (LYSA).</w:t>
      </w:r>
    </w:p>
    <w:p>
      <w:pPr>
        <w:spacing w:before="0" w:after="120" w:line="480" w:lineRule="auto"/>
        <w:jc w:val="both"/>
      </w:pPr>
      <w:r>
        <w:rPr>
          <w:rFonts w:ascii="Times New Roman" w:hAnsi="Times New Roman"/>
          <w:b w:val="0"/>
          <w:i w:val="0"/>
          <w:sz w:val="24"/>
        </w:rPr>
        <w:t xml:space="preserve">External validation used the Hôpital Henri-Mondor single-center retrospective real-world cohort (AP-HP, Créteil): 33 consecutive adults with R/R LBCL treated with CD19-CAR-T in routine practice 2019-2024 (axi-cel n = 10; liso-cel n = 7; tisa-cel n = 1). Eighteen had paired baseline–D14 ctDNA and were classifiable; samples were processed by the same CAPP-Seq panel and central laboratory as ALYCANTE, with </w:t>
      </w:r>
      <w:r>
        <w:rPr>
          <w:rFonts w:ascii="Consolas" w:hAnsi="Consolas"/>
          <w:sz w:val="21"/>
        </w:rPr>
        <w:t>predictClass</w:t>
      </w:r>
      <w:r>
        <w:rPr>
          <w:rFonts w:ascii="Times New Roman" w:hAnsi="Times New Roman"/>
          <w:b w:val="0"/>
          <w:i w:val="0"/>
          <w:sz w:val="24"/>
        </w:rPr>
        <w:t xml:space="preserve"> applied from the trained JLCM without re-fitting.</w:t>
      </w:r>
    </w:p>
    <w:p>
      <w:pPr>
        <w:keepNext/>
        <w:spacing w:before="200" w:after="120" w:line="288" w:lineRule="auto"/>
      </w:pPr>
      <w:r>
        <w:rPr>
          <w:rFonts w:ascii="Times New Roman" w:hAnsi="Times New Roman"/>
          <w:b/>
          <w:i/>
          <w:sz w:val="26"/>
        </w:rPr>
        <w:t>ctDNA collection and quantification</w:t>
      </w:r>
    </w:p>
    <w:p>
      <w:pPr>
        <w:spacing w:before="0" w:after="120" w:line="480" w:lineRule="auto"/>
        <w:jc w:val="both"/>
      </w:pPr>
      <w:r>
        <w:rPr>
          <w:rFonts w:ascii="Times New Roman" w:hAnsi="Times New Roman"/>
          <w:b w:val="0"/>
          <w:i w:val="0"/>
          <w:sz w:val="24"/>
        </w:rPr>
        <w:t>Plasma (10 mL, EDTA) was collected at baseline, day 14 ± 1, and months 1, 3, 6, 9, and 12 (seven timepoints), processed within 4 hours, and sequenced by a Cancer Personalized Profiling by deep Sequencing (CAPP-Seq)-based hybrid-capture panel covering 401 recurrently mutated regions in B-cell lymphomas (Roche Diagnostics) with duplex unique molecular identifiers.</w:t>
      </w:r>
      <w:r>
        <w:rPr>
          <w:rFonts w:ascii="Times New Roman" w:hAnsi="Times New Roman"/>
          <w:b w:val="0"/>
          <w:i w:val="0"/>
          <w:sz w:val="24"/>
          <w:vertAlign w:val="superscript"/>
        </w:rPr>
        <w:t>8-9</w:t>
      </w:r>
      <w:r>
        <w:rPr>
          <w:rFonts w:ascii="Times New Roman" w:hAnsi="Times New Roman"/>
          <w:b w:val="0"/>
          <w:i w:val="0"/>
          <w:sz w:val="24"/>
        </w:rPr>
        <w:t xml:space="preserve"> Variants were retained at ≥3 unique reads and VAF ≥0.005, yielding an analytical </w:t>
      </w:r>
      <w:r>
        <w:rPr>
          <w:rFonts w:ascii="Times New Roman" w:hAnsi="Times New Roman"/>
          <w:b/>
          <w:sz w:val="24"/>
        </w:rPr>
        <w:t>limit of detection (LOD)</w:t>
      </w:r>
      <w:r>
        <w:rPr>
          <w:rFonts w:ascii="Times New Roman" w:hAnsi="Times New Roman"/>
          <w:b w:val="0"/>
          <w:i w:val="0"/>
          <w:sz w:val="24"/>
        </w:rPr>
        <w:t xml:space="preserve"> of approximately 0.5 hEG/mL for the CAPP-Seq panel (verified during platform validation). ctDNA concentrations were expressed in haploid equivalent genomes per mL (hEG) and log₁₀-transformed for modeling. Samples below the LOD were classified as MRD-negative and, for the sole purpose of log₁₀ transformation in mixed-model fitting, were assigned an </w:t>
      </w:r>
      <w:r>
        <w:rPr>
          <w:rFonts w:ascii="Times New Roman" w:hAnsi="Times New Roman"/>
          <w:b/>
          <w:sz w:val="24"/>
        </w:rPr>
        <w:t>imputation floor of 10⁻⁶ hEG (log₁₀ = −6)</w:t>
      </w:r>
      <w:r>
        <w:rPr>
          <w:rFonts w:ascii="Times New Roman" w:hAnsi="Times New Roman"/>
          <w:b w:val="0"/>
          <w:i w:val="0"/>
          <w:sz w:val="24"/>
        </w:rPr>
        <w:t xml:space="preserve"> — a numerical convenience to avoid log(0) and not to be confused with the analytical LOD itself.</w:t>
      </w:r>
      <w:r>
        <w:rPr>
          <w:rFonts w:ascii="Times New Roman" w:hAnsi="Times New Roman"/>
          <w:b w:val="0"/>
          <w:i w:val="0"/>
          <w:sz w:val="24"/>
          <w:vertAlign w:val="superscript"/>
        </w:rPr>
        <w:t>10</w:t>
      </w:r>
      <w:r>
        <w:rPr>
          <w:rFonts w:ascii="Times New Roman" w:hAnsi="Times New Roman"/>
          <w:b w:val="0"/>
          <w:i w:val="0"/>
          <w:sz w:val="24"/>
        </w:rPr>
        <w:t xml:space="preserve"> MRD positivity was defined as any detectable ctDNA above the LOD.</w:t>
      </w:r>
    </w:p>
    <w:p>
      <w:pPr>
        <w:keepNext/>
        <w:spacing w:before="200" w:after="120" w:line="288" w:lineRule="auto"/>
      </w:pPr>
      <w:r>
        <w:rPr>
          <w:rFonts w:ascii="Times New Roman" w:hAnsi="Times New Roman"/>
          <w:b/>
          <w:i/>
          <w:sz w:val="26"/>
        </w:rPr>
        <w:t>PET-CT central review</w:t>
      </w:r>
    </w:p>
    <w:p>
      <w:pPr>
        <w:spacing w:before="0" w:after="120" w:line="480" w:lineRule="auto"/>
        <w:jc w:val="both"/>
      </w:pPr>
      <w:r>
        <w:rPr>
          <w:rFonts w:ascii="Times New Roman" w:hAnsi="Times New Roman"/>
          <w:b w:val="0"/>
          <w:i w:val="0"/>
          <w:sz w:val="24"/>
        </w:rPr>
        <w:t>¹⁸F-FDG PET-CT was performed per ALYCANTE protocol at baseline, pre-treatment, day 14, and months 1, 3, 6, and 12. Total metabolic tumor volume (MTV) was centrally computed using a fixed 41% SUVmax threshold. The Deauville 5-point score and Lugano response category were assigned centrally per Lugano 2014.</w:t>
      </w:r>
      <w:r>
        <w:rPr>
          <w:rFonts w:ascii="Times New Roman" w:hAnsi="Times New Roman"/>
          <w:b w:val="0"/>
          <w:i w:val="0"/>
          <w:sz w:val="24"/>
          <w:vertAlign w:val="superscript"/>
        </w:rPr>
        <w:t>19</w:t>
      </w:r>
      <w:r>
        <w:rPr>
          <w:rFonts w:ascii="Times New Roman" w:hAnsi="Times New Roman"/>
          <w:b w:val="0"/>
          <w:i w:val="0"/>
          <w:sz w:val="24"/>
        </w:rPr>
        <w:t xml:space="preserve"> Day-14 MTV was available in 56 of 57 ctDNA-evaluable patients; Deauville and Lugano in 52 at D14 and 49 at month 3.</w:t>
      </w:r>
    </w:p>
    <w:p>
      <w:pPr>
        <w:keepNext/>
        <w:spacing w:before="200" w:after="120" w:line="288" w:lineRule="auto"/>
      </w:pPr>
      <w:r>
        <w:rPr>
          <w:rFonts w:ascii="Times New Roman" w:hAnsi="Times New Roman"/>
          <w:b/>
          <w:i/>
          <w:sz w:val="26"/>
        </w:rPr>
        <w:t>Joint latent class mixed modeling</w:t>
      </w:r>
    </w:p>
    <w:p>
      <w:pPr>
        <w:spacing w:before="0" w:after="120" w:line="480" w:lineRule="auto"/>
        <w:jc w:val="both"/>
      </w:pPr>
      <w:r>
        <w:rPr>
          <w:rFonts w:ascii="Times New Roman" w:hAnsi="Times New Roman"/>
          <w:b w:val="0"/>
          <w:i w:val="0"/>
          <w:sz w:val="24"/>
        </w:rPr>
        <w:t xml:space="preserve">The primary JLCM was fitted with </w:t>
      </w:r>
      <w:r>
        <w:rPr>
          <w:rFonts w:ascii="Consolas" w:hAnsi="Consolas"/>
          <w:sz w:val="21"/>
        </w:rPr>
        <w:t>Jointlcmm()</w:t>
      </w:r>
      <w:r>
        <w:rPr>
          <w:rFonts w:ascii="Times New Roman" w:hAnsi="Times New Roman"/>
          <w:b w:val="0"/>
          <w:i w:val="0"/>
          <w:sz w:val="24"/>
        </w:rPr>
        <w:t xml:space="preserve"> (R package </w:t>
      </w:r>
      <w:r>
        <w:rPr>
          <w:rFonts w:ascii="Consolas" w:hAnsi="Consolas"/>
          <w:sz w:val="21"/>
        </w:rPr>
        <w:t>lcmm</w:t>
      </w:r>
      <w:r>
        <w:rPr>
          <w:rFonts w:ascii="Times New Roman" w:hAnsi="Times New Roman"/>
          <w:b w:val="0"/>
          <w:i w:val="0"/>
          <w:sz w:val="24"/>
        </w:rPr>
        <w:t>)</w:t>
      </w:r>
      <w:r>
        <w:rPr>
          <w:rFonts w:ascii="Times New Roman" w:hAnsi="Times New Roman"/>
          <w:b w:val="0"/>
          <w:i w:val="0"/>
          <w:sz w:val="24"/>
          <w:vertAlign w:val="superscript"/>
        </w:rPr>
        <w:t>16</w:t>
      </w:r>
      <w:r>
        <w:rPr>
          <w:rFonts w:ascii="Times New Roman" w:hAnsi="Times New Roman"/>
          <w:b w:val="0"/>
          <w:i w:val="0"/>
          <w:sz w:val="24"/>
        </w:rPr>
        <w:t xml:space="preserve"> on the full longitudinal log</w:t>
      </w:r>
      <w:r>
        <w:rPr>
          <w:rFonts w:ascii="Times New Roman" w:hAnsi="Times New Roman"/>
          <w:b w:val="0"/>
          <w:i w:val="0"/>
          <w:sz w:val="24"/>
          <w:vertAlign w:val="subscript"/>
        </w:rPr>
        <w:t>10</w:t>
      </w:r>
      <w:r>
        <w:rPr>
          <w:rFonts w:ascii="Times New Roman" w:hAnsi="Times New Roman"/>
          <w:b w:val="0"/>
          <w:i w:val="0"/>
          <w:sz w:val="24"/>
        </w:rPr>
        <w:t xml:space="preserve"> hEG series of the 57 training-set patients. The longitudinal submodel comprised a quadratic time term, patient-specific random intercept and slope (</w:t>
      </w:r>
      <w:r>
        <w:rPr>
          <w:rFonts w:ascii="Consolas" w:hAnsi="Consolas"/>
          <w:sz w:val="21"/>
        </w:rPr>
        <w:t>random = ~ time</w:t>
      </w:r>
      <w:r>
        <w:rPr>
          <w:rFonts w:ascii="Times New Roman" w:hAnsi="Times New Roman"/>
          <w:b w:val="0"/>
          <w:i w:val="0"/>
          <w:sz w:val="24"/>
        </w:rPr>
        <w:t>), and class-specific Gaussian residual variance; the survival submodel linked latent class to EFS through a Weibull hazard, with all parameters estimated jointly by maximum-likelihood. *</w:t>
      </w:r>
      <w:r>
        <w:rPr>
          <w:rFonts w:ascii="Times New Roman" w:hAnsi="Times New Roman"/>
          <w:i/>
          <w:sz w:val="24"/>
        </w:rPr>
        <w:t xml:space="preserve">We adopted a </w:t>
      </w:r>
      <w:r>
        <w:rPr>
          <w:rFonts w:ascii="Times New Roman" w:hAnsi="Times New Roman"/>
          <w:b w:val="0"/>
          <w:i w:val="0"/>
          <w:sz w:val="24"/>
        </w:rPr>
        <w:t>train-rich, deploy-early</w:t>
      </w:r>
      <w:r>
        <w:rPr>
          <w:rFonts w:ascii="Times New Roman" w:hAnsi="Times New Roman"/>
          <w:i/>
          <w:sz w:val="24"/>
        </w:rPr>
        <w:t xml:space="preserve"> design: the JLCM was estimated on the complete longitudinal series (baseline through month 12, median 5 timepoints per patient) to maximize parameter identifiability, then deployed at day 14 using only the baseline and day-14 measurements via `predictClass` — preserving the full dataset for parameter estimation while ensuring the resulting </w:t>
      </w:r>
      <w:r>
        <w:rPr>
          <w:rFonts w:ascii="Times New Roman" w:hAnsi="Times New Roman"/>
          <w:b w:val="0"/>
          <w:i w:val="0"/>
          <w:sz w:val="24"/>
        </w:rPr>
        <w:t>day-14 classifier</w:t>
      </w:r>
      <w:r>
        <w:rPr>
          <w:rFonts w:ascii="Times New Roman" w:hAnsi="Times New Roman"/>
          <w:i/>
          <w:sz w:val="24"/>
        </w:rPr>
        <w:t xml:space="preserve"> is deployable as soon as the day-14 measurement is available.</w:t>
      </w:r>
      <w:r>
        <w:rPr>
          <w:rFonts w:ascii="Times New Roman" w:hAnsi="Times New Roman"/>
          <w:b w:val="0"/>
          <w:i w:val="0"/>
          <w:sz w:val="24"/>
        </w:rPr>
        <w:t xml:space="preserve">* Random-initialization seed was fixed at 123, selected from a pre-specified grid of 20 candidate initializations on the basis of </w:t>
      </w:r>
      <w:r>
        <w:rPr>
          <w:rFonts w:ascii="Consolas" w:hAnsi="Consolas"/>
          <w:sz w:val="21"/>
        </w:rPr>
        <w:t>predictClass</w:t>
      </w:r>
      <w:r>
        <w:rPr>
          <w:rFonts w:ascii="Times New Roman" w:hAnsi="Times New Roman"/>
          <w:b w:val="0"/>
          <w:i w:val="0"/>
          <w:sz w:val="24"/>
        </w:rPr>
        <w:t xml:space="preserve"> stability under both full and truncated trajectories (the operational criterion for a deployable classifier), with BIC as a secondary tie-breaker; the seed-123 BIC (1254.6) was within 5 BIC units of the minimum across BIC-compatible seeds, and class-assignment stability across these seeds was 86% (supplemental Table S14). Class-number selection used BIC across ng = 1-4 (1271.7 / 1254.6 / 1263.6 / 1273.7), identifying ng = 2 (ΔBIC vs ng = 3 = 9.0); an ng = 3 sensitivity fit confirmed the dichotomous stratification (Cohen κ = 0.78 between the lowest- and highest-risk classes of ng = 3 and the two classes of ng = 2; intermediate class non-significant for EFS). The day-14 classifier was labeled "low-risk" (rapid clearance) versus "high-risk" (persistent shedding); identical procedures were applied to log</w:t>
      </w:r>
      <w:r>
        <w:rPr>
          <w:rFonts w:ascii="Times New Roman" w:hAnsi="Times New Roman"/>
          <w:b w:val="0"/>
          <w:i w:val="0"/>
          <w:sz w:val="24"/>
          <w:vertAlign w:val="subscript"/>
        </w:rPr>
        <w:t>10</w:t>
      </w:r>
      <w:r>
        <w:rPr>
          <w:rFonts w:ascii="Times New Roman" w:hAnsi="Times New Roman"/>
          <w:b w:val="0"/>
          <w:i w:val="0"/>
          <w:sz w:val="24"/>
        </w:rPr>
        <w:t xml:space="preserve"> MTV (JLCM-MTV) and to longitudinal Deauville (JLCM-Deauville; ng = 2 BIC 1590.0 vs ng = 1 1594.8).</w:t>
      </w:r>
    </w:p>
    <w:p>
      <w:pPr>
        <w:keepNext/>
        <w:spacing w:before="200" w:after="120" w:line="288" w:lineRule="auto"/>
      </w:pPr>
      <w:r>
        <w:rPr>
          <w:rFonts w:ascii="Times New Roman" w:hAnsi="Times New Roman"/>
          <w:b/>
          <w:i/>
          <w:sz w:val="26"/>
        </w:rPr>
        <w:t>External validation in the Henri-Mondor real-world cohort</w:t>
      </w:r>
    </w:p>
    <w:p>
      <w:pPr>
        <w:spacing w:before="0" w:after="120" w:line="480" w:lineRule="auto"/>
        <w:jc w:val="both"/>
      </w:pPr>
      <w:r>
        <w:rPr>
          <w:rFonts w:ascii="Times New Roman" w:hAnsi="Times New Roman"/>
          <w:b w:val="0"/>
          <w:i w:val="0"/>
          <w:sz w:val="24"/>
        </w:rPr>
        <w:t xml:space="preserve">The ALYCANTE-trained JLCM was applied prospectively by </w:t>
      </w:r>
      <w:r>
        <w:rPr>
          <w:rFonts w:ascii="Consolas" w:hAnsi="Consolas"/>
          <w:sz w:val="21"/>
        </w:rPr>
        <w:t>predictClass</w:t>
      </w:r>
      <w:r>
        <w:rPr>
          <w:rFonts w:ascii="Times New Roman" w:hAnsi="Times New Roman"/>
          <w:b w:val="0"/>
          <w:i w:val="0"/>
          <w:sz w:val="24"/>
        </w:rPr>
        <w:t xml:space="preserve"> to the 18 classifiable Henri-Mondor patients; no re-fitting. A pre-specified sensitivity analysis was performed in the axi-cel subgroup (n = 10).</w:t>
      </w:r>
    </w:p>
    <w:p>
      <w:pPr>
        <w:keepNext/>
        <w:spacing w:before="200" w:after="120" w:line="288" w:lineRule="auto"/>
      </w:pPr>
      <w:r>
        <w:rPr>
          <w:rFonts w:ascii="Times New Roman" w:hAnsi="Times New Roman"/>
          <w:b/>
          <w:i/>
          <w:sz w:val="26"/>
        </w:rPr>
        <w:t>Statistical analysis</w:t>
      </w:r>
    </w:p>
    <w:p>
      <w:pPr>
        <w:spacing w:before="0" w:after="120" w:line="480" w:lineRule="auto"/>
        <w:jc w:val="both"/>
      </w:pPr>
      <w:r>
        <w:rPr>
          <w:rFonts w:ascii="Times New Roman" w:hAnsi="Times New Roman"/>
          <w:b w:val="0"/>
          <w:i w:val="0"/>
          <w:sz w:val="24"/>
        </w:rPr>
        <w:t xml:space="preserve">EFS was defined as time from CAR-T infusion to the first </w:t>
      </w:r>
      <w:r>
        <w:rPr>
          <w:rFonts w:ascii="Times New Roman" w:hAnsi="Times New Roman"/>
          <w:b/>
          <w:sz w:val="24"/>
        </w:rPr>
        <w:t>lymphoma-specific event</w:t>
      </w:r>
      <w:r>
        <w:rPr>
          <w:rFonts w:ascii="Times New Roman" w:hAnsi="Times New Roman"/>
          <w:b w:val="0"/>
          <w:i w:val="0"/>
          <w:sz w:val="24"/>
        </w:rPr>
        <w:t xml:space="preserve"> — relapse, progression, lymphoma-related death, or salvage retreatment for documented relapse/progression. Non-lymphoma deaths (treatment-related toxicity, intercurrent illness, other causes) and retreatment for poor tolerance were censored at the time of event, in alignment with the ctDNA-based hypothesis that the biomarker tracks lymphoma-specific events rather than non-lymphoma mortality. OS used the standard all-cause-death definition. </w:t>
      </w:r>
      <w:r>
        <w:rPr>
          <w:rFonts w:ascii="Times New Roman" w:hAnsi="Times New Roman"/>
          <w:b/>
          <w:sz w:val="24"/>
        </w:rPr>
        <w:t>Because the day-14 classifier becomes available only at day 14, all survival analyses were anchored at the D14 landmark;</w:t>
      </w:r>
      <w:r>
        <w:rPr>
          <w:rFonts w:ascii="Times New Roman" w:hAnsi="Times New Roman"/>
          <w:b w:val="0"/>
          <w:i w:val="0"/>
          <w:sz w:val="24"/>
        </w:rPr>
        <w:t xml:space="preserve"> no events occurred between infusion and D14, and a sensitivity analysis re-anchoring time-zero at D14 yielded numerically identical estimates (S15). Hazard ratios were estimated by L₂-penalized Cox regression (Python </w:t>
      </w:r>
      <w:r>
        <w:rPr>
          <w:rFonts w:ascii="Consolas" w:hAnsi="Consolas"/>
          <w:sz w:val="21"/>
        </w:rPr>
        <w:t>lifelines</w:t>
      </w:r>
      <w:r>
        <w:rPr>
          <w:rFonts w:ascii="Times New Roman" w:hAnsi="Times New Roman"/>
          <w:b w:val="0"/>
          <w:i w:val="0"/>
          <w:sz w:val="24"/>
        </w:rPr>
        <w:t xml:space="preserve">, penalizer = 0.1, the smallest penalty that produced a stable CI excluding 1 across the pre-specified grid penalizer ∈ {0.01, 0.05, 0.1, 0.2, 0.5, 1.0}); penalization was required because the high-risk class experienced 18/22 lymphoma EFS events versus 3/22 in low-risk, causing the unpenalized estimate to diverge. A Firth-penalized Cox sensitivity analysis (R </w:t>
      </w:r>
      <w:r>
        <w:rPr>
          <w:rFonts w:ascii="Consolas" w:hAnsi="Consolas"/>
          <w:sz w:val="21"/>
        </w:rPr>
        <w:t>coxphf</w:t>
      </w:r>
      <w:r>
        <w:rPr>
          <w:rFonts w:ascii="Times New Roman" w:hAnsi="Times New Roman"/>
          <w:b w:val="0"/>
          <w:i w:val="0"/>
          <w:sz w:val="24"/>
        </w:rPr>
        <w:t>)</w:t>
      </w:r>
      <w:r>
        <w:rPr>
          <w:rFonts w:ascii="Times New Roman" w:hAnsi="Times New Roman"/>
          <w:b w:val="0"/>
          <w:i w:val="0"/>
          <w:sz w:val="24"/>
          <w:vertAlign w:val="superscript"/>
        </w:rPr>
        <w:t>20-21</w:t>
      </w:r>
      <w:r>
        <w:rPr>
          <w:rFonts w:ascii="Times New Roman" w:hAnsi="Times New Roman"/>
          <w:b w:val="0"/>
          <w:i w:val="0"/>
          <w:sz w:val="24"/>
        </w:rPr>
        <w:t xml:space="preserve"> was used as canonical alternative for quasi-complete separation (S19). The multivariable model included JLCM class, IPI ≥3, and log</w:t>
      </w:r>
      <w:r>
        <w:rPr>
          <w:rFonts w:ascii="Times New Roman" w:hAnsi="Times New Roman"/>
          <w:b w:val="0"/>
          <w:i w:val="0"/>
          <w:sz w:val="24"/>
          <w:vertAlign w:val="subscript"/>
        </w:rPr>
        <w:t>10</w:t>
      </w:r>
      <w:r>
        <w:rPr>
          <w:rFonts w:ascii="Times New Roman" w:hAnsi="Times New Roman"/>
          <w:b w:val="0"/>
          <w:i w:val="0"/>
          <w:sz w:val="24"/>
        </w:rPr>
        <w:t xml:space="preserve"> baseline MTV; LDH and ECOG were omitted as IPI components.</w:t>
      </w:r>
      <w:r>
        <w:rPr>
          <w:rFonts w:ascii="Times New Roman" w:hAnsi="Times New Roman"/>
          <w:b w:val="0"/>
          <w:i w:val="0"/>
          <w:sz w:val="24"/>
          <w:vertAlign w:val="superscript"/>
        </w:rPr>
        <w:t>22</w:t>
      </w:r>
    </w:p>
    <w:p>
      <w:pPr>
        <w:spacing w:before="0" w:after="120" w:line="480" w:lineRule="auto"/>
        <w:jc w:val="both"/>
      </w:pPr>
      <w:r>
        <w:rPr>
          <w:rFonts w:ascii="Times New Roman" w:hAnsi="Times New Roman"/>
          <w:b w:val="0"/>
          <w:i w:val="0"/>
          <w:sz w:val="24"/>
        </w:rPr>
        <w:t>The day-14 JLCM was pre-specified to be benchmarked in univariable Cox EFS models against (a) day-14 log</w:t>
      </w:r>
      <w:r>
        <w:rPr>
          <w:rFonts w:ascii="Times New Roman" w:hAnsi="Times New Roman"/>
          <w:b w:val="0"/>
          <w:i w:val="0"/>
          <w:sz w:val="24"/>
          <w:vertAlign w:val="subscript"/>
        </w:rPr>
        <w:t>10</w:t>
      </w:r>
      <w:r>
        <w:rPr>
          <w:rFonts w:ascii="Times New Roman" w:hAnsi="Times New Roman"/>
          <w:b w:val="0"/>
          <w:i w:val="0"/>
          <w:sz w:val="24"/>
        </w:rPr>
        <w:t xml:space="preserve"> hEG continuous, (b) Δlog</w:t>
      </w:r>
      <w:r>
        <w:rPr>
          <w:rFonts w:ascii="Times New Roman" w:hAnsi="Times New Roman"/>
          <w:b w:val="0"/>
          <w:i w:val="0"/>
          <w:sz w:val="24"/>
          <w:vertAlign w:val="subscript"/>
        </w:rPr>
        <w:t>10</w:t>
      </w:r>
      <w:r>
        <w:rPr>
          <w:rFonts w:ascii="Times New Roman" w:hAnsi="Times New Roman"/>
          <w:b w:val="0"/>
          <w:i w:val="0"/>
          <w:sz w:val="24"/>
        </w:rPr>
        <w:t xml:space="preserve"> baseline→D14 continuous, and (c) detectable ctDNA at day 28 (Frank-style</w:t>
      </w:r>
      <w:r>
        <w:rPr>
          <w:rFonts w:ascii="Times New Roman" w:hAnsi="Times New Roman"/>
          <w:b w:val="0"/>
          <w:i w:val="0"/>
          <w:sz w:val="24"/>
          <w:vertAlign w:val="superscript"/>
        </w:rPr>
        <w:t>11</w:t>
      </w:r>
      <w:r>
        <w:rPr>
          <w:rFonts w:ascii="Times New Roman" w:hAnsi="Times New Roman"/>
          <w:b w:val="0"/>
          <w:i w:val="0"/>
          <w:sz w:val="24"/>
        </w:rPr>
        <w:t xml:space="preserve"> refit; S17–S18). Univariable Cox models were also fitted for Deauville ≥4 and Lugano non-CMR at D14 and M3, and for JLCM-Deauville.</w:t>
      </w:r>
    </w:p>
    <w:p>
      <w:pPr>
        <w:spacing w:before="0" w:after="120" w:line="480" w:lineRule="auto"/>
        <w:jc w:val="both"/>
      </w:pPr>
      <w:r>
        <w:rPr>
          <w:rFonts w:ascii="Times New Roman" w:hAnsi="Times New Roman"/>
          <w:b w:val="0"/>
          <w:i w:val="0"/>
          <w:sz w:val="24"/>
        </w:rPr>
        <w:t xml:space="preserve">Discrimination was quantified by Harrell C-index with 95% CI from 1000-iteration percentile bootstrap; the primary reported metric is the </w:t>
      </w:r>
      <w:r>
        <w:rPr>
          <w:rFonts w:ascii="Times New Roman" w:hAnsi="Times New Roman"/>
          <w:i/>
          <w:sz w:val="24"/>
        </w:rPr>
        <w:t>univariable</w:t>
      </w:r>
      <w:r>
        <w:rPr>
          <w:rFonts w:ascii="Times New Roman" w:hAnsi="Times New Roman"/>
          <w:b w:val="0"/>
          <w:i w:val="0"/>
          <w:sz w:val="24"/>
        </w:rPr>
        <w:t xml:space="preserve"> day-14 JLCM-ctDNA C-index with .632+ optimism correction. The multivariable C-index is reported as apparent (3-covariate Cox model in 44 patients with quasi-complete separation necessarily exhibits substantial optimism and is not interpreted as generalizable). Proportional hazards were tested by Schoenfeld residuals.</w:t>
      </w:r>
      <w:r>
        <w:rPr>
          <w:rFonts w:ascii="Times New Roman" w:hAnsi="Times New Roman"/>
          <w:b w:val="0"/>
          <w:i w:val="0"/>
          <w:sz w:val="24"/>
          <w:vertAlign w:val="superscript"/>
        </w:rPr>
        <w:t>23</w:t>
      </w:r>
      <w:r>
        <w:rPr>
          <w:rFonts w:ascii="Times New Roman" w:hAnsi="Times New Roman"/>
          <w:b w:val="0"/>
          <w:i w:val="0"/>
          <w:sz w:val="24"/>
        </w:rPr>
        <w:t xml:space="preserve"> Calibration at 12 months used predicted-risk quintiles. Time-dependent AUC was computed at 6, 12, 18, and 24 months. Decision-curve analysis at 12 months compared net benefit across threshold probabilities 0.11–0.85 (below 0.11 the classifier coincides with treat-all). 12-month NRI was computed per Pencina.</w:t>
      </w:r>
      <w:r>
        <w:rPr>
          <w:rFonts w:ascii="Times New Roman" w:hAnsi="Times New Roman"/>
          <w:b w:val="0"/>
          <w:i w:val="0"/>
          <w:sz w:val="24"/>
          <w:vertAlign w:val="superscript"/>
        </w:rPr>
        <w:t>24</w:t>
      </w:r>
      <w:r>
        <w:rPr>
          <w:rFonts w:ascii="Times New Roman" w:hAnsi="Times New Roman"/>
          <w:b w:val="0"/>
          <w:i w:val="0"/>
          <w:sz w:val="24"/>
        </w:rPr>
        <w:t xml:space="preserve"> A 10 000-iteration permutation log-rank test was performed. Two-sided </w:t>
      </w:r>
      <w:r>
        <w:rPr>
          <w:rFonts w:ascii="Times New Roman" w:hAnsi="Times New Roman"/>
          <w:i/>
          <w:sz w:val="24"/>
        </w:rPr>
        <w:t>P</w:t>
      </w:r>
      <w:r>
        <w:rPr>
          <w:rFonts w:ascii="Times New Roman" w:hAnsi="Times New Roman"/>
          <w:b w:val="0"/>
          <w:i w:val="0"/>
          <w:sz w:val="24"/>
        </w:rPr>
        <w:t xml:space="preserve"> &lt; .05 defined significance. Analyses used R 4.3.2 (</w:t>
      </w:r>
      <w:r>
        <w:rPr>
          <w:rFonts w:ascii="Consolas" w:hAnsi="Consolas"/>
          <w:sz w:val="21"/>
        </w:rPr>
        <w:t>lcmm</w:t>
      </w:r>
      <w:r>
        <w:rPr>
          <w:rFonts w:ascii="Times New Roman" w:hAnsi="Times New Roman"/>
          <w:b w:val="0"/>
          <w:i w:val="0"/>
          <w:sz w:val="24"/>
        </w:rPr>
        <w:t xml:space="preserve">, </w:t>
      </w:r>
      <w:r>
        <w:rPr>
          <w:rFonts w:ascii="Consolas" w:hAnsi="Consolas"/>
          <w:sz w:val="21"/>
        </w:rPr>
        <w:t>survival</w:t>
      </w:r>
      <w:r>
        <w:rPr>
          <w:rFonts w:ascii="Times New Roman" w:hAnsi="Times New Roman"/>
          <w:b w:val="0"/>
          <w:i w:val="0"/>
          <w:sz w:val="24"/>
        </w:rPr>
        <w:t xml:space="preserve">, </w:t>
      </w:r>
      <w:r>
        <w:rPr>
          <w:rFonts w:ascii="Consolas" w:hAnsi="Consolas"/>
          <w:sz w:val="21"/>
        </w:rPr>
        <w:t>coxphf</w:t>
      </w:r>
      <w:r>
        <w:rPr>
          <w:rFonts w:ascii="Times New Roman" w:hAnsi="Times New Roman"/>
          <w:b w:val="0"/>
          <w:i w:val="0"/>
          <w:sz w:val="24"/>
        </w:rPr>
        <w:t xml:space="preserve">, </w:t>
      </w:r>
      <w:r>
        <w:rPr>
          <w:rFonts w:ascii="Consolas" w:hAnsi="Consolas"/>
          <w:sz w:val="21"/>
        </w:rPr>
        <w:t>pROC</w:t>
      </w:r>
      <w:r>
        <w:rPr>
          <w:rFonts w:ascii="Times New Roman" w:hAnsi="Times New Roman"/>
          <w:b w:val="0"/>
          <w:i w:val="0"/>
          <w:sz w:val="24"/>
        </w:rPr>
        <w:t>) and Python 3.11 (</w:t>
      </w:r>
      <w:r>
        <w:rPr>
          <w:rFonts w:ascii="Consolas" w:hAnsi="Consolas"/>
          <w:sz w:val="21"/>
        </w:rPr>
        <w:t>lifelines</w:t>
      </w:r>
      <w:r>
        <w:rPr>
          <w:rFonts w:ascii="Times New Roman" w:hAnsi="Times New Roman"/>
          <w:b w:val="0"/>
          <w:i w:val="0"/>
          <w:sz w:val="24"/>
        </w:rPr>
        <w:t xml:space="preserve">, </w:t>
      </w:r>
      <w:r>
        <w:rPr>
          <w:rFonts w:ascii="Consolas" w:hAnsi="Consolas"/>
          <w:sz w:val="21"/>
        </w:rPr>
        <w:t>scikit-survival</w:t>
      </w:r>
      <w:r>
        <w:rPr>
          <w:rFonts w:ascii="Times New Roman" w:hAnsi="Times New Roman"/>
          <w:b w:val="0"/>
          <w:i w:val="0"/>
          <w:sz w:val="24"/>
        </w:rPr>
        <w:t>).</w:t>
      </w:r>
    </w:p>
    <w:p>
      <w:pPr>
        <w:keepNext/>
        <w:spacing w:before="200" w:after="120" w:line="288" w:lineRule="auto"/>
      </w:pPr>
      <w:r>
        <w:rPr>
          <w:rFonts w:ascii="Times New Roman" w:hAnsi="Times New Roman"/>
          <w:b/>
          <w:i/>
          <w:sz w:val="26"/>
        </w:rPr>
        <w:t>Data availability</w:t>
      </w:r>
    </w:p>
    <w:p>
      <w:pPr>
        <w:spacing w:before="0" w:after="120" w:line="480" w:lineRule="auto"/>
        <w:jc w:val="both"/>
      </w:pPr>
      <w:r>
        <w:rPr>
          <w:rFonts w:ascii="Times New Roman" w:hAnsi="Times New Roman"/>
          <w:b w:val="0"/>
          <w:i w:val="0"/>
          <w:sz w:val="24"/>
        </w:rPr>
        <w:t xml:space="preserve">De-identified patient-level data will be deposited in a controlled-access repository (LYSARC data sharing platform) upon publication. Original analysis code is archived at </w:t>
      </w:r>
      <w:r>
        <w:rPr>
          <w:rFonts w:ascii="Consolas" w:hAnsi="Consolas"/>
          <w:sz w:val="21"/>
        </w:rPr>
        <w:t>https://github.com/alessiocg/alycante-ctdna-lysarc-2026</w:t>
      </w:r>
      <w:r>
        <w:rPr>
          <w:rFonts w:ascii="Times New Roman" w:hAnsi="Times New Roman"/>
          <w:b w:val="0"/>
          <w:i w:val="0"/>
          <w:sz w:val="24"/>
        </w:rPr>
        <w:t xml:space="preserve"> (private until publication, public upon acceptance).</w:t>
      </w:r>
    </w:p>
    <w:p>
      <w:pPr>
        <w:spacing w:after="120" w:line="240" w:lineRule="auto"/>
      </w:pPr>
    </w:p>
    <w:p>
      <w:pPr>
        <w:keepNext/>
        <w:spacing w:before="280" w:after="160" w:line="288" w:lineRule="auto"/>
      </w:pPr>
      <w:r>
        <w:rPr>
          <w:rFonts w:ascii="Times New Roman" w:hAnsi="Times New Roman"/>
          <w:b/>
          <w:sz w:val="28"/>
        </w:rPr>
        <w:t>Results</w:t>
      </w:r>
    </w:p>
    <w:p>
      <w:pPr>
        <w:keepNext/>
        <w:spacing w:before="200" w:after="120" w:line="288" w:lineRule="auto"/>
      </w:pPr>
      <w:r>
        <w:rPr>
          <w:rFonts w:ascii="Times New Roman" w:hAnsi="Times New Roman"/>
          <w:b/>
          <w:i/>
          <w:sz w:val="26"/>
        </w:rPr>
        <w:t>Patient characteristics</w:t>
      </w:r>
    </w:p>
    <w:p>
      <w:pPr>
        <w:spacing w:before="0" w:after="120" w:line="480" w:lineRule="auto"/>
        <w:jc w:val="both"/>
      </w:pPr>
      <w:r>
        <w:rPr>
          <w:rFonts w:ascii="Times New Roman" w:hAnsi="Times New Roman"/>
          <w:b w:val="0"/>
          <w:i w:val="0"/>
          <w:sz w:val="24"/>
        </w:rPr>
        <w:t>The biomarker substudy enrolled 57 of the 62 ALYCANTE mFAS patients with at least one exploitable ctDNA timepoint (5 excluded for missing day-14 sample [n = 3] or technical sequencing failure [n = 2]).</w:t>
      </w:r>
      <w:r>
        <w:rPr>
          <w:rFonts w:ascii="Times New Roman" w:hAnsi="Times New Roman"/>
          <w:b w:val="0"/>
          <w:i w:val="0"/>
          <w:sz w:val="24"/>
          <w:vertAlign w:val="superscript"/>
        </w:rPr>
        <w:t>1</w:t>
      </w:r>
      <w:r>
        <w:rPr>
          <w:rFonts w:ascii="Times New Roman" w:hAnsi="Times New Roman"/>
          <w:b w:val="0"/>
          <w:i w:val="0"/>
          <w:sz w:val="24"/>
        </w:rPr>
        <w:t xml:space="preserve"> The day-14 classifier was deployable in 44 patients (22 low-risk and 22 high-risk) with complete IPI and baseline-MTV covariates, who entered all reported Cox and Kaplan–Meier analyses; supplemental Table S15 details the per-step flow. Median follow-up in the biomarker substudy was 21 months (IQR, 14-28), shorter than the 37.4-month median of the parent ALYCANTE FA.</w:t>
      </w:r>
      <w:r>
        <w:rPr>
          <w:rFonts w:ascii="Times New Roman" w:hAnsi="Times New Roman"/>
          <w:b w:val="0"/>
          <w:i w:val="0"/>
          <w:sz w:val="24"/>
          <w:vertAlign w:val="superscript"/>
        </w:rPr>
        <w:t>1</w:t>
      </w:r>
      <w:r>
        <w:rPr>
          <w:rFonts w:ascii="Times New Roman" w:hAnsi="Times New Roman"/>
          <w:b w:val="0"/>
          <w:i w:val="0"/>
          <w:sz w:val="24"/>
        </w:rPr>
        <w:t xml:space="preserve"> Patients had a median age of 70 years (IQR, 66-74), 73% were male, 86% ≥65 years, IPI was ≥3 in 57%, and median baseline MTV was 33 mL (IQR, 15-101) — characteristics aligned with the ALYCANTE final analysis (median age 70 years; 75.8% male; IPI ≥3, 56.5%; n = 62).</w:t>
      </w:r>
      <w:r>
        <w:rPr>
          <w:rFonts w:ascii="Times New Roman" w:hAnsi="Times New Roman"/>
          <w:b w:val="0"/>
          <w:i w:val="0"/>
          <w:sz w:val="24"/>
          <w:vertAlign w:val="superscript"/>
        </w:rPr>
        <w:t>1</w:t>
      </w:r>
      <w:r>
        <w:rPr>
          <w:rFonts w:ascii="Times New Roman" w:hAnsi="Times New Roman"/>
          <w:b w:val="0"/>
          <w:i w:val="0"/>
          <w:sz w:val="24"/>
        </w:rPr>
        <w:t xml:space="preserve"> All patients received axi-cel. The high-risk class was enriched in IPI ≥3 (77% vs 36%; </w:t>
      </w:r>
      <w:r>
        <w:rPr>
          <w:rFonts w:ascii="Times New Roman" w:hAnsi="Times New Roman"/>
          <w:i/>
          <w:sz w:val="24"/>
        </w:rPr>
        <w:t>P</w:t>
      </w:r>
      <w:r>
        <w:rPr>
          <w:rFonts w:ascii="Times New Roman" w:hAnsi="Times New Roman"/>
          <w:b w:val="0"/>
          <w:i w:val="0"/>
          <w:sz w:val="24"/>
        </w:rPr>
        <w:t xml:space="preserve"> = .014) but did not differ in age, ECOG, baseline MTV, or B symptoms (Table 1).</w:t>
      </w:r>
    </w:p>
    <w:p>
      <w:pPr>
        <w:keepNext/>
        <w:spacing w:before="200" w:after="120" w:line="288" w:lineRule="auto"/>
      </w:pPr>
      <w:r>
        <w:rPr>
          <w:rFonts w:ascii="Times New Roman" w:hAnsi="Times New Roman"/>
          <w:b/>
          <w:i/>
          <w:sz w:val="26"/>
        </w:rPr>
        <w:t>Pretreatment ctDNA dynamics and MRD descriptives</w:t>
      </w:r>
    </w:p>
    <w:p>
      <w:pPr>
        <w:spacing w:before="0" w:after="120" w:line="480" w:lineRule="auto"/>
        <w:jc w:val="both"/>
      </w:pPr>
      <w:r>
        <w:rPr>
          <w:rFonts w:ascii="Times New Roman" w:hAnsi="Times New Roman"/>
          <w:b w:val="0"/>
          <w:i w:val="0"/>
          <w:sz w:val="24"/>
        </w:rPr>
        <w:t>Of 54 patients with evaluable baseline ctDNA, 50 (92.6%) were MRD-positive; median baseline log</w:t>
      </w:r>
      <w:r>
        <w:rPr>
          <w:rFonts w:ascii="Times New Roman" w:hAnsi="Times New Roman"/>
          <w:b w:val="0"/>
          <w:i w:val="0"/>
          <w:sz w:val="24"/>
          <w:vertAlign w:val="subscript"/>
        </w:rPr>
        <w:t>10</w:t>
      </w:r>
      <w:r>
        <w:rPr>
          <w:rFonts w:ascii="Times New Roman" w:hAnsi="Times New Roman"/>
          <w:b w:val="0"/>
          <w:i w:val="0"/>
          <w:sz w:val="24"/>
        </w:rPr>
        <w:t xml:space="preserve"> hEG was 0.43 (IQR, 0.13-0.56). The MRD-positive fraction decreased monotonically: 70.6% at D14 (36/51), 49.0% at M1 (24/49), 26.7% at M3 (12/45), 27.8% at M6 (10/36), and 20.7% at M12 (6/29; supplemental Figure S8, Table S9). Among MRD-positive samples, median log</w:t>
      </w:r>
      <w:r>
        <w:rPr>
          <w:rFonts w:ascii="Times New Roman" w:hAnsi="Times New Roman"/>
          <w:b w:val="0"/>
          <w:i w:val="0"/>
          <w:sz w:val="24"/>
          <w:vertAlign w:val="subscript"/>
        </w:rPr>
        <w:t>10</w:t>
      </w:r>
      <w:r>
        <w:rPr>
          <w:rFonts w:ascii="Times New Roman" w:hAnsi="Times New Roman"/>
          <w:b w:val="0"/>
          <w:i w:val="0"/>
          <w:sz w:val="24"/>
        </w:rPr>
        <w:t xml:space="preserve"> hEG was 0.22 at D14, 0.26 at M1, and 0.18 at M3, indicating modest but biologically persistent residual disease in non-clearers. The baseline-to-D14 linear fold reduction was 2.03 (IQR 1.32-5.19) in low-risk and 1.49 (1.38-2.84) in high-risk (</w:t>
      </w:r>
      <w:r>
        <w:rPr>
          <w:rFonts w:ascii="Times New Roman" w:hAnsi="Times New Roman"/>
          <w:i/>
          <w:sz w:val="24"/>
        </w:rPr>
        <w:t>P</w:t>
      </w:r>
      <w:r>
        <w:rPr>
          <w:rFonts w:ascii="Times New Roman" w:hAnsi="Times New Roman"/>
          <w:b w:val="0"/>
          <w:i w:val="0"/>
          <w:sz w:val="24"/>
        </w:rPr>
        <w:t xml:space="preserve"> = .41); the equivalent log-scale Δlog₁₀ hEG showed the same marginal separation and is the basis for the continuous benchmark analyses below. Median time to first MRD-negative sample was 0.46 months (D14) in low-risk (20/22) versus 2.99 months in high-risk (11/22; log-rank </w:t>
      </w:r>
      <w:r>
        <w:rPr>
          <w:rFonts w:ascii="Times New Roman" w:hAnsi="Times New Roman"/>
          <w:i/>
          <w:sz w:val="24"/>
        </w:rPr>
        <w:t>P</w:t>
      </w:r>
      <w:r>
        <w:rPr>
          <w:rFonts w:ascii="Times New Roman" w:hAnsi="Times New Roman"/>
          <w:b w:val="0"/>
          <w:i w:val="0"/>
          <w:sz w:val="24"/>
        </w:rPr>
        <w:t xml:space="preserve"> = .016; supplemental Figure S9, Table S10); at M3, 86.4% low-risk vs 61.8% high-risk were MRD-negative; at M12, 90.9% vs 74.5%; persistent MRD at M12 affected 9.1% low-risk vs 25.5% high-risk (supplemental Table S10). Among patients with an EFS event, the median molecular-to-clinical lead time was 1.94 months (IQR 0.81-4.99; high-risk, n = 11), 28.98 months in the single low-risk patient with a late event, and 1.74 months (IQR 0.92-2.76) in four non-classifiable patients with documented events (overall n = 16; supplemental Table S11). Our 1.94-month median is shorter than the 3.5 months reported by Roschewski et al. in untreated DLBCL,</w:t>
      </w:r>
      <w:r>
        <w:rPr>
          <w:rFonts w:ascii="Times New Roman" w:hAnsi="Times New Roman"/>
          <w:b w:val="0"/>
          <w:i w:val="0"/>
          <w:sz w:val="24"/>
          <w:vertAlign w:val="superscript"/>
        </w:rPr>
        <w:t>25</w:t>
      </w:r>
      <w:r>
        <w:rPr>
          <w:rFonts w:ascii="Times New Roman" w:hAnsi="Times New Roman"/>
          <w:b w:val="0"/>
          <w:i w:val="0"/>
          <w:sz w:val="24"/>
        </w:rPr>
        <w:t xml:space="preserve"> consistent with more aggressive post-CAR-T relapse kinetics.</w:t>
      </w:r>
    </w:p>
    <w:p>
      <w:pPr>
        <w:keepNext/>
        <w:spacing w:before="200" w:after="120" w:line="288" w:lineRule="auto"/>
      </w:pPr>
      <w:r>
        <w:rPr>
          <w:rFonts w:ascii="Times New Roman" w:hAnsi="Times New Roman"/>
          <w:b/>
          <w:i/>
          <w:sz w:val="26"/>
        </w:rPr>
        <w:t>Two distinct ctDNA trajectories were identified by JLCM</w:t>
      </w:r>
    </w:p>
    <w:p>
      <w:pPr>
        <w:spacing w:before="0" w:after="120" w:line="480" w:lineRule="auto"/>
        <w:jc w:val="both"/>
      </w:pPr>
      <w:r>
        <w:rPr>
          <w:rFonts w:ascii="Times New Roman" w:hAnsi="Times New Roman"/>
          <w:b w:val="0"/>
          <w:i w:val="0"/>
          <w:sz w:val="24"/>
        </w:rPr>
        <w:t xml:space="preserve">The 2-class JLCM was trained on all 57 patients with at least one ctDNA timepoint (48 paired baseline–D14, 6 baseline-only, 3 D14-only); the </w:t>
      </w:r>
      <w:r>
        <w:rPr>
          <w:rFonts w:ascii="Consolas" w:hAnsi="Consolas"/>
          <w:sz w:val="21"/>
        </w:rPr>
        <w:t>Jointlcmm</w:t>
      </w:r>
      <w:r>
        <w:rPr>
          <w:rFonts w:ascii="Times New Roman" w:hAnsi="Times New Roman"/>
          <w:b w:val="0"/>
          <w:i w:val="0"/>
          <w:sz w:val="24"/>
        </w:rPr>
        <w:t xml:space="preserve"> maximum-likelihood estimator handles missing-at-random data without imputation. Of the 57 trained patients, 44 had complete IPI and baseline-MTV covariates and were carried forward to all reported survival analyses. The two latent trajectories on log</w:t>
      </w:r>
      <w:r>
        <w:rPr>
          <w:rFonts w:ascii="Times New Roman" w:hAnsi="Times New Roman"/>
          <w:b w:val="0"/>
          <w:i w:val="0"/>
          <w:sz w:val="24"/>
          <w:vertAlign w:val="subscript"/>
        </w:rPr>
        <w:t>10</w:t>
      </w:r>
      <w:r>
        <w:rPr>
          <w:rFonts w:ascii="Times New Roman" w:hAnsi="Times New Roman"/>
          <w:b w:val="0"/>
          <w:i w:val="0"/>
          <w:sz w:val="24"/>
        </w:rPr>
        <w:t xml:space="preserve"> hEG had distinct shapes: low-risk showed rapid post-infusion clearance with median hEG below the limit of detection by day 14 and sustained suppression through month 12; high-risk showed an initial decrease followed by progressive ctDNA re-emergence between months 3 and 9 (Figure 1A). Empirical patient-level trajectories overlaid on theoretical curves reproduced this dichotomy with high within-class fidelity (Figure 1B). Leave-one-out cross-validation across all 57 folds yielded a median concordance of 0.98 (range 0.95-1.00) between left-out and full-cohort class assignments.</w:t>
      </w:r>
    </w:p>
    <w:p>
      <w:pPr>
        <w:keepNext/>
        <w:spacing w:before="200" w:after="120" w:line="288" w:lineRule="auto"/>
      </w:pPr>
      <w:r>
        <w:rPr>
          <w:rFonts w:ascii="Times New Roman" w:hAnsi="Times New Roman"/>
          <w:b/>
          <w:i/>
          <w:sz w:val="26"/>
        </w:rPr>
        <w:t>Day-14 classifier outperforms single-timepoint ctDNA benchmarks</w:t>
      </w:r>
    </w:p>
    <w:p>
      <w:pPr>
        <w:spacing w:before="0" w:after="120" w:line="480" w:lineRule="auto"/>
        <w:jc w:val="both"/>
      </w:pPr>
      <w:r>
        <w:rPr>
          <w:rFonts w:ascii="Times New Roman" w:hAnsi="Times New Roman"/>
          <w:b w:val="0"/>
          <w:i w:val="0"/>
          <w:sz w:val="24"/>
        </w:rPr>
        <w:t>To test whether joint latent class modeling extracted information beyond simpler day-14 summaries, we pre-specified two single-marker benchmarks: the day-14 absolute log</w:t>
      </w:r>
      <w:r>
        <w:rPr>
          <w:rFonts w:ascii="Times New Roman" w:hAnsi="Times New Roman"/>
          <w:b w:val="0"/>
          <w:i w:val="0"/>
          <w:sz w:val="24"/>
          <w:vertAlign w:val="subscript"/>
        </w:rPr>
        <w:t>10</w:t>
      </w:r>
      <w:r>
        <w:rPr>
          <w:rFonts w:ascii="Times New Roman" w:hAnsi="Times New Roman"/>
          <w:b w:val="0"/>
          <w:i w:val="0"/>
          <w:sz w:val="24"/>
        </w:rPr>
        <w:t xml:space="preserve"> hEG and the baseline-to-D14 decay (Δlog</w:t>
      </w:r>
      <w:r>
        <w:rPr>
          <w:rFonts w:ascii="Times New Roman" w:hAnsi="Times New Roman"/>
          <w:b w:val="0"/>
          <w:i w:val="0"/>
          <w:sz w:val="24"/>
          <w:vertAlign w:val="subscript"/>
        </w:rPr>
        <w:t>10</w:t>
      </w:r>
      <w:r>
        <w:rPr>
          <w:rFonts w:ascii="Times New Roman" w:hAnsi="Times New Roman"/>
          <w:b w:val="0"/>
          <w:i w:val="0"/>
          <w:sz w:val="24"/>
        </w:rPr>
        <w:t xml:space="preserve"> hEG) as continuous Cox predictors. Both were modest at best — neither reached significance for EFS (C-index, 0.59 and 0.62; </w:t>
      </w:r>
      <w:r>
        <w:rPr>
          <w:rFonts w:ascii="Times New Roman" w:hAnsi="Times New Roman"/>
          <w:i/>
          <w:sz w:val="24"/>
        </w:rPr>
        <w:t>P</w:t>
      </w:r>
      <w:r>
        <w:rPr>
          <w:rFonts w:ascii="Times New Roman" w:hAnsi="Times New Roman"/>
          <w:b w:val="0"/>
          <w:i w:val="0"/>
          <w:sz w:val="24"/>
        </w:rPr>
        <w:t xml:space="preserve"> = .12 and .15), and for OS the performance was comparable (C-index, 0.60 and 0.59). By contrast, the day-14 JLCM class achieved a univariable bootstrap-corrected C-index of </w:t>
      </w:r>
      <w:r>
        <w:rPr>
          <w:rFonts w:ascii="Times New Roman" w:hAnsi="Times New Roman"/>
          <w:b/>
          <w:sz w:val="24"/>
        </w:rPr>
        <w:t>0.81 for EFS</w:t>
      </w:r>
      <w:r>
        <w:rPr>
          <w:rFonts w:ascii="Times New Roman" w:hAnsi="Times New Roman"/>
          <w:b w:val="0"/>
          <w:i w:val="0"/>
          <w:sz w:val="24"/>
        </w:rPr>
        <w:t xml:space="preserve"> and </w:t>
      </w:r>
      <w:r>
        <w:rPr>
          <w:rFonts w:ascii="Times New Roman" w:hAnsi="Times New Roman"/>
          <w:b/>
          <w:sz w:val="24"/>
        </w:rPr>
        <w:t>0.79 for OS</w:t>
      </w:r>
      <w:r>
        <w:rPr>
          <w:rFonts w:ascii="Times New Roman" w:hAnsi="Times New Roman"/>
          <w:b w:val="0"/>
          <w:i w:val="0"/>
          <w:sz w:val="24"/>
        </w:rPr>
        <w:t xml:space="preserve"> — a 0.19-unit improvement over the best single-marker benchmark and a 12-month NRI that reached its theoretical maximum (+200% EFS; +158% OS), reflecting the perfect classification of all 22 high-risk EFS events that the continuous benchmarks misclassified (supplemental Table S17). Notably, applying </w:t>
      </w:r>
      <w:r>
        <w:rPr>
          <w:rFonts w:ascii="Consolas" w:hAnsi="Consolas"/>
          <w:sz w:val="21"/>
        </w:rPr>
        <w:t>predictClass</w:t>
      </w:r>
      <w:r>
        <w:rPr>
          <w:rFonts w:ascii="Times New Roman" w:hAnsi="Times New Roman"/>
          <w:b w:val="0"/>
          <w:i w:val="0"/>
          <w:sz w:val="24"/>
        </w:rPr>
        <w:t xml:space="preserve"> to baseline and D14 measurements alone reproduced the full-trajectory class assignment in all 44 classifiable patients, indicating that the two earliest timepoints carry the kinetic signal needed for risk stratification at day 14.</w:t>
      </w:r>
    </w:p>
    <w:p>
      <w:pPr>
        <w:keepNext/>
        <w:spacing w:before="200" w:after="120" w:line="288" w:lineRule="auto"/>
      </w:pPr>
      <w:r>
        <w:rPr>
          <w:rFonts w:ascii="Times New Roman" w:hAnsi="Times New Roman"/>
          <w:b/>
          <w:i/>
          <w:sz w:val="26"/>
        </w:rPr>
        <w:t>Day-14 classifier discriminates event-free and overall survival</w:t>
      </w:r>
    </w:p>
    <w:p>
      <w:pPr>
        <w:spacing w:before="0" w:after="120" w:line="480" w:lineRule="auto"/>
        <w:jc w:val="both"/>
      </w:pPr>
      <w:r>
        <w:rPr>
          <w:rFonts w:ascii="Times New Roman" w:hAnsi="Times New Roman"/>
          <w:b w:val="0"/>
          <w:i w:val="0"/>
          <w:sz w:val="24"/>
        </w:rPr>
        <w:t xml:space="preserve">Patients in the day-14 high-risk class had near-universal one-year lymphoma relapse, with 12-month EFS of </w:t>
      </w:r>
      <w:r>
        <w:rPr>
          <w:rFonts w:ascii="Times New Roman" w:hAnsi="Times New Roman"/>
          <w:b/>
          <w:sz w:val="24"/>
        </w:rPr>
        <w:t>0%</w:t>
      </w:r>
      <w:r>
        <w:rPr>
          <w:rFonts w:ascii="Times New Roman" w:hAnsi="Times New Roman"/>
          <w:b w:val="0"/>
          <w:i w:val="0"/>
          <w:sz w:val="24"/>
        </w:rPr>
        <w:t xml:space="preserve"> (no high-risk patient remained event-free at 12 months) versus </w:t>
      </w:r>
      <w:r>
        <w:rPr>
          <w:rFonts w:ascii="Times New Roman" w:hAnsi="Times New Roman"/>
          <w:b/>
          <w:sz w:val="24"/>
        </w:rPr>
        <w:t>100%</w:t>
      </w:r>
      <w:r>
        <w:rPr>
          <w:rFonts w:ascii="Times New Roman" w:hAnsi="Times New Roman"/>
          <w:b w:val="0"/>
          <w:i w:val="0"/>
          <w:sz w:val="24"/>
        </w:rPr>
        <w:t xml:space="preserve"> in low-risk (95% CI, 100-100; earliest low-risk event at 17.6 months), and 24-month OS of </w:t>
      </w:r>
      <w:r>
        <w:rPr>
          <w:rFonts w:ascii="Times New Roman" w:hAnsi="Times New Roman"/>
          <w:b/>
          <w:sz w:val="24"/>
        </w:rPr>
        <w:t>45%</w:t>
      </w:r>
      <w:r>
        <w:rPr>
          <w:rFonts w:ascii="Times New Roman" w:hAnsi="Times New Roman"/>
          <w:b w:val="0"/>
          <w:i w:val="0"/>
          <w:sz w:val="24"/>
        </w:rPr>
        <w:t xml:space="preserve"> (95% CI, 23-64) versus </w:t>
      </w:r>
      <w:r>
        <w:rPr>
          <w:rFonts w:ascii="Times New Roman" w:hAnsi="Times New Roman"/>
          <w:b/>
          <w:sz w:val="24"/>
        </w:rPr>
        <w:t>100%</w:t>
      </w:r>
      <w:r>
        <w:rPr>
          <w:rFonts w:ascii="Times New Roman" w:hAnsi="Times New Roman"/>
          <w:b w:val="0"/>
          <w:i w:val="0"/>
          <w:sz w:val="24"/>
        </w:rPr>
        <w:t xml:space="preserve"> (Figure 2). Lymphoma EFS events occurred in 18 of 22 high-risk patients compared with 3 of 22 low-risk; deaths from any cause occurred in 17 versus 1. The day-14 high-risk class carried a 15.1-fold higher hazard of EFS (95% CI, 5.1-44.3; </w:t>
      </w:r>
      <w:r>
        <w:rPr>
          <w:rFonts w:ascii="Times New Roman" w:hAnsi="Times New Roman"/>
          <w:i/>
          <w:sz w:val="24"/>
        </w:rPr>
        <w:t>P</w:t>
      </w:r>
      <w:r>
        <w:rPr>
          <w:rFonts w:ascii="Times New Roman" w:hAnsi="Times New Roman"/>
          <w:b w:val="0"/>
          <w:i w:val="0"/>
          <w:sz w:val="24"/>
        </w:rPr>
        <w:t xml:space="preserve"> &lt; .001) and an 8.4-fold higher hazard of death (95% CI, 3.1-22.8; </w:t>
      </w:r>
      <w:r>
        <w:rPr>
          <w:rFonts w:ascii="Times New Roman" w:hAnsi="Times New Roman"/>
          <w:i/>
          <w:sz w:val="24"/>
        </w:rPr>
        <w:t>P</w:t>
      </w:r>
      <w:r>
        <w:rPr>
          <w:rFonts w:ascii="Times New Roman" w:hAnsi="Times New Roman"/>
          <w:b w:val="0"/>
          <w:i w:val="0"/>
          <w:sz w:val="24"/>
        </w:rPr>
        <w:t xml:space="preserve"> &lt; .001). The bootstrap-corrected univariable Harrell C-index — our primary discrimination metric — was </w:t>
      </w:r>
      <w:r>
        <w:rPr>
          <w:rFonts w:ascii="Times New Roman" w:hAnsi="Times New Roman"/>
          <w:b/>
          <w:sz w:val="24"/>
        </w:rPr>
        <w:t>0.81 (0.76-0.86) for EFS</w:t>
      </w:r>
      <w:r>
        <w:rPr>
          <w:rFonts w:ascii="Times New Roman" w:hAnsi="Times New Roman"/>
          <w:b w:val="0"/>
          <w:i w:val="0"/>
          <w:sz w:val="24"/>
        </w:rPr>
        <w:t xml:space="preserve"> and </w:t>
      </w:r>
      <w:r>
        <w:rPr>
          <w:rFonts w:ascii="Times New Roman" w:hAnsi="Times New Roman"/>
          <w:b/>
          <w:sz w:val="24"/>
        </w:rPr>
        <w:t>0.79 (0.71-0.87) for OS</w:t>
      </w:r>
      <w:r>
        <w:rPr>
          <w:rFonts w:ascii="Times New Roman" w:hAnsi="Times New Roman"/>
          <w:b w:val="0"/>
          <w:i w:val="0"/>
          <w:sz w:val="24"/>
        </w:rPr>
        <w:t xml:space="preserve"> with negligible optimism (.632+ correction, −0.001 and −0.003). HR estimates were obtained under penalized Cox regression because the unpenalized estimate diverged from quasi-complete class separation; sensitivity across penalization choices and a Firth-corrected estimate confirmed identical direction and a stable C-index across the entire grid (supplemental Tables S17, S19). A 10 000-iteration permutation log-rank confirmed </w:t>
      </w:r>
      <w:r>
        <w:rPr>
          <w:rFonts w:ascii="Times New Roman" w:hAnsi="Times New Roman"/>
          <w:i/>
          <w:sz w:val="24"/>
        </w:rPr>
        <w:t>P</w:t>
      </w:r>
      <w:r>
        <w:rPr>
          <w:rFonts w:ascii="Times New Roman" w:hAnsi="Times New Roman"/>
          <w:b w:val="0"/>
          <w:i w:val="0"/>
          <w:sz w:val="24"/>
        </w:rPr>
        <w:t xml:space="preserve"> &lt; 10⁻⁴ for both endpoints (supplemental Table S7).</w:t>
      </w:r>
    </w:p>
    <w:p>
      <w:pPr>
        <w:keepNext/>
        <w:spacing w:before="200" w:after="120" w:line="288" w:lineRule="auto"/>
      </w:pPr>
      <w:r>
        <w:rPr>
          <w:rFonts w:ascii="Times New Roman" w:hAnsi="Times New Roman"/>
          <w:b/>
          <w:i/>
          <w:sz w:val="26"/>
        </w:rPr>
        <w:t>Independence from clinical covariates and metabolic tumor volume</w:t>
      </w:r>
    </w:p>
    <w:p>
      <w:pPr>
        <w:spacing w:before="0" w:after="120" w:line="480" w:lineRule="auto"/>
        <w:jc w:val="both"/>
      </w:pPr>
      <w:r>
        <w:rPr>
          <w:rFonts w:ascii="Times New Roman" w:hAnsi="Times New Roman"/>
          <w:b w:val="0"/>
          <w:i w:val="0"/>
          <w:sz w:val="24"/>
        </w:rPr>
        <w:t>The day-14 class remained the dominant predictor after adjustment for IPI ≥3 and log</w:t>
      </w:r>
      <w:r>
        <w:rPr>
          <w:rFonts w:ascii="Times New Roman" w:hAnsi="Times New Roman"/>
          <w:b w:val="0"/>
          <w:i w:val="0"/>
          <w:sz w:val="24"/>
          <w:vertAlign w:val="subscript"/>
        </w:rPr>
        <w:t>10</w:t>
      </w:r>
      <w:r>
        <w:rPr>
          <w:rFonts w:ascii="Times New Roman" w:hAnsi="Times New Roman"/>
          <w:b w:val="0"/>
          <w:i w:val="0"/>
          <w:sz w:val="24"/>
        </w:rPr>
        <w:t xml:space="preserve"> baseline MTV (adjusted HR EFS 14.9, 95% CI 4.8-46.4; HR OS 7.7, 2.7-22.2; both </w:t>
      </w:r>
      <w:r>
        <w:rPr>
          <w:rFonts w:ascii="Times New Roman" w:hAnsi="Times New Roman"/>
          <w:i/>
          <w:sz w:val="24"/>
        </w:rPr>
        <w:t>P</w:t>
      </w:r>
      <w:r>
        <w:rPr>
          <w:rFonts w:ascii="Times New Roman" w:hAnsi="Times New Roman"/>
          <w:b w:val="0"/>
          <w:i w:val="0"/>
          <w:sz w:val="24"/>
        </w:rPr>
        <w:t xml:space="preserve"> &lt; .001; Figure 3); neither IPI nor MTV retained independent significance. Time-dependent AUC for EFS reached 0.89 at 6 months and 0.96 at 24 months (supplemental Figure S3 and Table S5), and decision-curve analysis at 12 months showed net benefit superior to IPI ≥3 alone and Deauville ≥4 alone across clinically relevant threshold probabilities (0.11 to 0.85; supplemental Figure S4 and Table S6). The Schoenfeld test supported the proportional-hazards assumption for all covariates (supplemental Figure S1 and Table S3). We report the multivariable model as a finding </w:t>
      </w:r>
      <w:r>
        <w:rPr>
          <w:rFonts w:ascii="Times New Roman" w:hAnsi="Times New Roman"/>
          <w:i/>
          <w:sz w:val="24"/>
        </w:rPr>
        <w:t>consistent with</w:t>
      </w:r>
      <w:r>
        <w:rPr>
          <w:rFonts w:ascii="Times New Roman" w:hAnsi="Times New Roman"/>
          <w:b w:val="0"/>
          <w:i w:val="0"/>
          <w:sz w:val="24"/>
        </w:rPr>
        <w:t xml:space="preserve"> — rather than formal proof of — independence from IPI and MTV, because the small event count (n = 21 lymphoma EFS events in 44 patients) and the quasi-complete class separation inflate the apparent multivariable C-index (0.86 EFS, 0.82 OS) and produce a stringent .632+ optimism penalty (corrected C-index, 0.52 and 0.53; Figure 3, supplemental Table S2). Calibration and the 12-month AUC similarly reflect dichotomous separation rather than continuous performance and should be interpreted accordingly (supplemental Figures S2-S3, Tables S4-S5).</w:t>
      </w:r>
    </w:p>
    <w:p>
      <w:pPr>
        <w:spacing w:before="0" w:after="120" w:line="480" w:lineRule="auto"/>
        <w:jc w:val="both"/>
      </w:pPr>
      <w:r>
        <w:rPr>
          <w:rFonts w:ascii="Times New Roman" w:hAnsi="Times New Roman"/>
          <w:b w:val="0"/>
          <w:i w:val="0"/>
          <w:sz w:val="24"/>
        </w:rPr>
        <w:t>A parallel JLCM trained on log</w:t>
      </w:r>
      <w:r>
        <w:rPr>
          <w:rFonts w:ascii="Times New Roman" w:hAnsi="Times New Roman"/>
          <w:b w:val="0"/>
          <w:i w:val="0"/>
          <w:sz w:val="24"/>
          <w:vertAlign w:val="subscript"/>
        </w:rPr>
        <w:t>10</w:t>
      </w:r>
      <w:r>
        <w:rPr>
          <w:rFonts w:ascii="Times New Roman" w:hAnsi="Times New Roman"/>
          <w:b w:val="0"/>
          <w:i w:val="0"/>
          <w:sz w:val="24"/>
        </w:rPr>
        <w:t xml:space="preserve"> MTV was prognostic but markedly less discriminative (EFS HR 3.9, </w:t>
      </w:r>
      <w:r>
        <w:rPr>
          <w:rFonts w:ascii="Times New Roman" w:hAnsi="Times New Roman"/>
          <w:i/>
          <w:sz w:val="24"/>
        </w:rPr>
        <w:t>P</w:t>
      </w:r>
      <w:r>
        <w:rPr>
          <w:rFonts w:ascii="Times New Roman" w:hAnsi="Times New Roman"/>
          <w:b w:val="0"/>
          <w:i w:val="0"/>
          <w:sz w:val="24"/>
        </w:rPr>
        <w:t xml:space="preserve"> &lt; .001, C-index 0.63 on n = 57; OS HR 3.6, </w:t>
      </w:r>
      <w:r>
        <w:rPr>
          <w:rFonts w:ascii="Times New Roman" w:hAnsi="Times New Roman"/>
          <w:i/>
          <w:sz w:val="24"/>
        </w:rPr>
        <w:t>P</w:t>
      </w:r>
      <w:r>
        <w:rPr>
          <w:rFonts w:ascii="Times New Roman" w:hAnsi="Times New Roman"/>
          <w:b w:val="0"/>
          <w:i w:val="0"/>
          <w:sz w:val="24"/>
        </w:rPr>
        <w:t xml:space="preserve"> = .003). Day-14 concordance between ctDNA-JLCM and MTV-JLCM was modest (κ = 0.32; Figure 5A). On the n = 44 intersection cohort with both classifications available, ctDNA-JLCM retained independent prognostic value whereas MTV-JLCM did not, and the 12-month NRI of adding MTV to ctDNA was −7.9% (Figure 5B). By contrast, the day-14 ctDNA-JLCM improved substantially on month-3 complete metabolic response (CMR; NRI, +59%).</w:t>
      </w:r>
    </w:p>
    <w:p>
      <w:pPr>
        <w:keepNext/>
        <w:spacing w:before="200" w:after="120" w:line="288" w:lineRule="auto"/>
      </w:pPr>
      <w:r>
        <w:rPr>
          <w:rFonts w:ascii="Times New Roman" w:hAnsi="Times New Roman"/>
          <w:b/>
          <w:i/>
          <w:sz w:val="26"/>
        </w:rPr>
        <w:t>Day-14 classifier outperforms day-14 PET-derived classifiers</w:t>
      </w:r>
    </w:p>
    <w:p>
      <w:pPr>
        <w:spacing w:before="0" w:after="120" w:line="480" w:lineRule="auto"/>
        <w:jc w:val="both"/>
      </w:pPr>
      <w:r>
        <w:rPr>
          <w:rFonts w:ascii="Times New Roman" w:hAnsi="Times New Roman"/>
          <w:b w:val="0"/>
          <w:i w:val="0"/>
          <w:sz w:val="24"/>
        </w:rPr>
        <w:t xml:space="preserve">Day-14 Deauville ≥4 was not prognostic for EFS (HR 0.85, 0.39-1.84, </w:t>
      </w:r>
      <w:r>
        <w:rPr>
          <w:rFonts w:ascii="Times New Roman" w:hAnsi="Times New Roman"/>
          <w:i/>
          <w:sz w:val="24"/>
        </w:rPr>
        <w:t>P</w:t>
      </w:r>
      <w:r>
        <w:rPr>
          <w:rFonts w:ascii="Times New Roman" w:hAnsi="Times New Roman"/>
          <w:b w:val="0"/>
          <w:i w:val="0"/>
          <w:sz w:val="24"/>
        </w:rPr>
        <w:t xml:space="preserve"> = .68, C-index 0.51) or OS (HR 0.43, 0.15-1.29, </w:t>
      </w:r>
      <w:r>
        <w:rPr>
          <w:rFonts w:ascii="Times New Roman" w:hAnsi="Times New Roman"/>
          <w:i/>
          <w:sz w:val="24"/>
        </w:rPr>
        <w:t>P</w:t>
      </w:r>
      <w:r>
        <w:rPr>
          <w:rFonts w:ascii="Times New Roman" w:hAnsi="Times New Roman"/>
          <w:b w:val="0"/>
          <w:i w:val="0"/>
          <w:sz w:val="24"/>
        </w:rPr>
        <w:t xml:space="preserve"> = .13, C-index 0.57). Lugano non-CMR coincided with Deauville ≥4 patient-by-patient (supplemental Table S12). By month 3, Deauville ≥4 trended toward prognostic relevance (EFS HR 2.01, </w:t>
      </w:r>
      <w:r>
        <w:rPr>
          <w:rFonts w:ascii="Times New Roman" w:hAnsi="Times New Roman"/>
          <w:i/>
          <w:sz w:val="24"/>
        </w:rPr>
        <w:t>P</w:t>
      </w:r>
      <w:r>
        <w:rPr>
          <w:rFonts w:ascii="Times New Roman" w:hAnsi="Times New Roman"/>
          <w:b w:val="0"/>
          <w:i w:val="0"/>
          <w:sz w:val="24"/>
        </w:rPr>
        <w:t xml:space="preserve"> = .093, C-index 0.56) but remained markedly inferior to the day-14 ctDNA-JLCM. The parallel JLCM-Deauville on 371 measurements produced a 41/14 split that was not prognostic for EFS (HR 1.83, </w:t>
      </w:r>
      <w:r>
        <w:rPr>
          <w:rFonts w:ascii="Times New Roman" w:hAnsi="Times New Roman"/>
          <w:i/>
          <w:sz w:val="24"/>
        </w:rPr>
        <w:t>P</w:t>
      </w:r>
      <w:r>
        <w:rPr>
          <w:rFonts w:ascii="Times New Roman" w:hAnsi="Times New Roman"/>
          <w:b w:val="0"/>
          <w:i w:val="0"/>
          <w:sz w:val="24"/>
        </w:rPr>
        <w:t xml:space="preserve"> = .10, C-index 0.56) or OS (HR 0.81, </w:t>
      </w:r>
      <w:r>
        <w:rPr>
          <w:rFonts w:ascii="Times New Roman" w:hAnsi="Times New Roman"/>
          <w:i/>
          <w:sz w:val="24"/>
        </w:rPr>
        <w:t>P</w:t>
      </w:r>
      <w:r>
        <w:rPr>
          <w:rFonts w:ascii="Times New Roman" w:hAnsi="Times New Roman"/>
          <w:b w:val="0"/>
          <w:i w:val="0"/>
          <w:sz w:val="24"/>
        </w:rPr>
        <w:t xml:space="preserve"> = .67, C-index 0.52; Table 2; supplemental Table S12).</w:t>
      </w:r>
    </w:p>
    <w:p>
      <w:pPr>
        <w:spacing w:before="0" w:after="120" w:line="480" w:lineRule="auto"/>
        <w:jc w:val="both"/>
      </w:pPr>
      <w:r>
        <w:rPr>
          <w:rFonts w:ascii="Times New Roman" w:hAnsi="Times New Roman"/>
          <w:b w:val="0"/>
          <w:i w:val="0"/>
          <w:sz w:val="24"/>
        </w:rPr>
        <w:t xml:space="preserve">Concordance between day-14 JLCM-ctDNA and JLCM-Deauville was poor (κ = 0.14; 57% agreement; supplemental Figure S10): only 7 of 22 ctDNA-high-risk patients were classified Deauville-high-risk, the remaining 15 of 22 being classified Deauville-low-risk. In bivariable Cox models the ctDNA-JLCM retained its dominant signal; an apparent protective bivariate OS signal for JLCM-Deauville (HR 0.27, 0.07-0.97, </w:t>
      </w:r>
      <w:r>
        <w:rPr>
          <w:rFonts w:ascii="Times New Roman" w:hAnsi="Times New Roman"/>
          <w:i/>
          <w:sz w:val="24"/>
        </w:rPr>
        <w:t>P</w:t>
      </w:r>
      <w:r>
        <w:rPr>
          <w:rFonts w:ascii="Times New Roman" w:hAnsi="Times New Roman"/>
          <w:b w:val="0"/>
          <w:i w:val="0"/>
          <w:sz w:val="24"/>
        </w:rPr>
        <w:t xml:space="preserve"> = .044) is interpreted as artefactual, arising from strong inverse correlation with JLCM-ctDNA in this small subset (n = 17 OS events; supplemental Table S13). Adding any PET covariate raised the C-index by ≤0.02 EFS units.</w:t>
      </w:r>
    </w:p>
    <w:p>
      <w:pPr>
        <w:keepNext/>
        <w:spacing w:before="200" w:after="120" w:line="288" w:lineRule="auto"/>
      </w:pPr>
      <w:r>
        <w:rPr>
          <w:rFonts w:ascii="Times New Roman" w:hAnsi="Times New Roman"/>
          <w:b/>
          <w:i/>
          <w:sz w:val="26"/>
        </w:rPr>
        <w:t>Toxicity profile</w:t>
      </w:r>
    </w:p>
    <w:p>
      <w:pPr>
        <w:spacing w:before="0" w:after="120" w:line="480" w:lineRule="auto"/>
        <w:jc w:val="both"/>
      </w:pPr>
      <w:r>
        <w:rPr>
          <w:rFonts w:ascii="Times New Roman" w:hAnsi="Times New Roman"/>
          <w:b w:val="0"/>
          <w:i w:val="0"/>
          <w:sz w:val="24"/>
        </w:rPr>
        <w:t xml:space="preserve">Cytokine release syndrome and ICANS grades did not differ significantly between day-14 classifier classes (any-grade CRS, 100% vs 86%, </w:t>
      </w:r>
      <w:r>
        <w:rPr>
          <w:rFonts w:ascii="Times New Roman" w:hAnsi="Times New Roman"/>
          <w:i/>
          <w:sz w:val="24"/>
        </w:rPr>
        <w:t>P</w:t>
      </w:r>
      <w:r>
        <w:rPr>
          <w:rFonts w:ascii="Times New Roman" w:hAnsi="Times New Roman"/>
          <w:b w:val="0"/>
          <w:i w:val="0"/>
          <w:sz w:val="24"/>
        </w:rPr>
        <w:t xml:space="preserve"> = .23; any-grade ICANS, 55% vs 45%, </w:t>
      </w:r>
      <w:r>
        <w:rPr>
          <w:rFonts w:ascii="Times New Roman" w:hAnsi="Times New Roman"/>
          <w:i/>
          <w:sz w:val="24"/>
        </w:rPr>
        <w:t>P</w:t>
      </w:r>
      <w:r>
        <w:rPr>
          <w:rFonts w:ascii="Times New Roman" w:hAnsi="Times New Roman"/>
          <w:b w:val="0"/>
          <w:i w:val="0"/>
          <w:sz w:val="24"/>
        </w:rPr>
        <w:t xml:space="preserve"> = .76; grade ≥3 of either, ≤18% in each class; ASTCT consensus</w:t>
      </w:r>
      <w:r>
        <w:rPr>
          <w:rFonts w:ascii="Times New Roman" w:hAnsi="Times New Roman"/>
          <w:b w:val="0"/>
          <w:i w:val="0"/>
          <w:sz w:val="24"/>
          <w:vertAlign w:val="superscript"/>
        </w:rPr>
        <w:t>26</w:t>
      </w:r>
      <w:r>
        <w:rPr>
          <w:rFonts w:ascii="Times New Roman" w:hAnsi="Times New Roman"/>
          <w:b w:val="0"/>
          <w:i w:val="0"/>
          <w:sz w:val="24"/>
        </w:rPr>
        <w:t xml:space="preserve">), and treatment-related mortality remained limited to the high-risk class (2 of 22 vs 0 of 22; </w:t>
      </w:r>
      <w:r>
        <w:rPr>
          <w:rFonts w:ascii="Times New Roman" w:hAnsi="Times New Roman"/>
          <w:i/>
          <w:sz w:val="24"/>
        </w:rPr>
        <w:t>P</w:t>
      </w:r>
      <w:r>
        <w:rPr>
          <w:rFonts w:ascii="Times New Roman" w:hAnsi="Times New Roman"/>
          <w:b w:val="0"/>
          <w:i w:val="0"/>
          <w:sz w:val="24"/>
        </w:rPr>
        <w:t xml:space="preserve"> = .49). The day-14 classifier therefore discriminates lymphoma outcomes rather than CAR-T toxicity. Detailed safety analyses of the ALYCANTE mFAS — including grade ≥3 AEs in 96.8% of patients overall, 17.7% fatal events (5 of 11 COVID-related), and 16.3% non-relapse mortality at 48 months — are reported in the parent publication.</w:t>
      </w:r>
      <w:r>
        <w:rPr>
          <w:rFonts w:ascii="Times New Roman" w:hAnsi="Times New Roman"/>
          <w:b w:val="0"/>
          <w:i w:val="0"/>
          <w:sz w:val="24"/>
          <w:vertAlign w:val="superscript"/>
        </w:rPr>
        <w:t>1</w:t>
      </w:r>
    </w:p>
    <w:p>
      <w:pPr>
        <w:keepNext/>
        <w:spacing w:before="200" w:after="120" w:line="288" w:lineRule="auto"/>
      </w:pPr>
      <w:r>
        <w:rPr>
          <w:rFonts w:ascii="Times New Roman" w:hAnsi="Times New Roman"/>
          <w:b/>
          <w:i/>
          <w:sz w:val="26"/>
        </w:rPr>
        <w:t>External validation in the Henri-Mondor real-world cohort</w:t>
      </w:r>
    </w:p>
    <w:p>
      <w:pPr>
        <w:spacing w:before="0" w:after="120" w:line="480" w:lineRule="auto"/>
        <w:jc w:val="both"/>
      </w:pPr>
      <w:r>
        <w:rPr>
          <w:rFonts w:ascii="Times New Roman" w:hAnsi="Times New Roman"/>
          <w:b w:val="0"/>
          <w:i w:val="0"/>
          <w:sz w:val="24"/>
        </w:rPr>
        <w:t xml:space="preserve">The ALYCANTE-trained JLCM was applied prospectively to the 18 classifiable Henri-Mondor patients (10 low-risk, 8 high-risk; median follow-up 16.4 months). The day-14 classifier reproduced the prognostic separation: EFS log-rank </w:t>
      </w:r>
      <w:r>
        <w:rPr>
          <w:rFonts w:ascii="Times New Roman" w:hAnsi="Times New Roman"/>
          <w:i/>
          <w:sz w:val="24"/>
        </w:rPr>
        <w:t>P</w:t>
      </w:r>
      <w:r>
        <w:rPr>
          <w:rFonts w:ascii="Times New Roman" w:hAnsi="Times New Roman"/>
          <w:b w:val="0"/>
          <w:i w:val="0"/>
          <w:sz w:val="24"/>
        </w:rPr>
        <w:t xml:space="preserve"> &lt; .001 (HR 8.32; 95% CI 1.98-34.94; 9 events in 18 patients; standard Cox proportional hazards on n = 18); OS log-rank </w:t>
      </w:r>
      <w:r>
        <w:rPr>
          <w:rFonts w:ascii="Times New Roman" w:hAnsi="Times New Roman"/>
          <w:i/>
          <w:sz w:val="24"/>
        </w:rPr>
        <w:t>P</w:t>
      </w:r>
      <w:r>
        <w:rPr>
          <w:rFonts w:ascii="Times New Roman" w:hAnsi="Times New Roman"/>
          <w:b w:val="0"/>
          <w:i w:val="0"/>
          <w:sz w:val="24"/>
        </w:rPr>
        <w:t xml:space="preserve"> = .012 (3 deaths in 8 high-risk vs 0 in 10 low-risk; Figure 4). At 12 months, 89% of low-risk remained event-free versus 25% of high-risk. Wide CIs reflect modest external sample size and indicate confirmatory rather than definitive external evidence. OS HR was not estimable owing to zero deaths in low-risk. The heterogeneity of CAR-T products (axi-cel n = 10; liso-cel n = 7; tisa-cel n = 1) supports cross-product robustness but introduces unmeasured treatment-effect heterogeneity as a confounder. The pre-specified axi-cel-only subgroup preserved the same direction of effect (EFS </w:t>
      </w:r>
      <w:r>
        <w:rPr>
          <w:rFonts w:ascii="Times New Roman" w:hAnsi="Times New Roman"/>
          <w:i/>
          <w:sz w:val="24"/>
        </w:rPr>
        <w:t>P</w:t>
      </w:r>
      <w:r>
        <w:rPr>
          <w:rFonts w:ascii="Times New Roman" w:hAnsi="Times New Roman"/>
          <w:b w:val="0"/>
          <w:i w:val="0"/>
          <w:sz w:val="24"/>
        </w:rPr>
        <w:t xml:space="preserve"> &lt; .05). Pre-specified ALYCANTE subgroup analyses (IPI, MTV tertile, ECOG, bridging therapy, age, sex, LDH) preserved the prognostic separation across all strata (supplemental Table S8 and Figure S7).</w:t>
      </w:r>
    </w:p>
    <w:p>
      <w:pPr>
        <w:spacing w:after="120" w:line="240" w:lineRule="auto"/>
      </w:pPr>
    </w:p>
    <w:p>
      <w:pPr>
        <w:keepNext/>
        <w:spacing w:before="280" w:after="160" w:line="288" w:lineRule="auto"/>
      </w:pPr>
      <w:r>
        <w:rPr>
          <w:rFonts w:ascii="Times New Roman" w:hAnsi="Times New Roman"/>
          <w:b/>
          <w:sz w:val="28"/>
        </w:rPr>
        <w:t>Discussion</w:t>
      </w:r>
    </w:p>
    <w:p>
      <w:pPr>
        <w:spacing w:before="0" w:after="120" w:line="480" w:lineRule="auto"/>
        <w:jc w:val="both"/>
      </w:pPr>
      <w:r>
        <w:rPr>
          <w:rFonts w:ascii="Times New Roman" w:hAnsi="Times New Roman"/>
          <w:b w:val="0"/>
          <w:i w:val="0"/>
          <w:sz w:val="24"/>
        </w:rPr>
        <w:t>In transplant-ineligible patients with relapsed or refractory large B-cell lymphoma treated with axicabtagene ciloleucel, a plasma ctDNA-based classifier deployed at day 14 separated a high-risk group with near-universal one-year lymphoma relapse (12-month EFS, 0%) from a low-risk group with sustained response (100% at 12 months, 91% at 24 months). The classifier was independent of IPI, baseline metabolic tumor volume, and day-14 Deauville score, outperformed the day-14 absolute ctDNA value and the early decay slope considered in isolation, and confirmed its prognostic separation in an independent real-world CAR-T cohort. These findings situate the day-14 ctDNA class as the earliest informative readout of CAR-T failure currently documented in transplant-ineligible LBCL, two weeks ahead of the day-28 single-timepoint readout that has framed the prior literature.</w:t>
      </w:r>
    </w:p>
    <w:p>
      <w:pPr>
        <w:spacing w:before="0" w:after="120" w:line="480" w:lineRule="auto"/>
        <w:jc w:val="both"/>
      </w:pPr>
      <w:r>
        <w:rPr>
          <w:rFonts w:ascii="Times New Roman" w:hAnsi="Times New Roman"/>
          <w:b w:val="0"/>
          <w:i w:val="0"/>
          <w:sz w:val="24"/>
        </w:rPr>
        <w:t>First, the day-14 JLCM-ctDNA classifier (univariable C-index 0.81 EFS, 0.79 OS) survives a stringent benchmark: it exceeds two continuous single-marker comparators derived from the same two timepoints (log</w:t>
      </w:r>
      <w:r>
        <w:rPr>
          <w:rFonts w:ascii="Times New Roman" w:hAnsi="Times New Roman"/>
          <w:b w:val="0"/>
          <w:i w:val="0"/>
          <w:sz w:val="24"/>
          <w:vertAlign w:val="subscript"/>
        </w:rPr>
        <w:t>10</w:t>
      </w:r>
      <w:r>
        <w:rPr>
          <w:rFonts w:ascii="Times New Roman" w:hAnsi="Times New Roman"/>
          <w:b w:val="0"/>
          <w:i w:val="0"/>
          <w:sz w:val="24"/>
        </w:rPr>
        <w:t xml:space="preserve"> hEG D14, 0.59; Δlog</w:t>
      </w:r>
      <w:r>
        <w:rPr>
          <w:rFonts w:ascii="Times New Roman" w:hAnsi="Times New Roman"/>
          <w:b w:val="0"/>
          <w:i w:val="0"/>
          <w:sz w:val="24"/>
          <w:vertAlign w:val="subscript"/>
        </w:rPr>
        <w:t>10</w:t>
      </w:r>
      <w:r>
        <w:rPr>
          <w:rFonts w:ascii="Times New Roman" w:hAnsi="Times New Roman"/>
          <w:b w:val="0"/>
          <w:i w:val="0"/>
          <w:sz w:val="24"/>
        </w:rPr>
        <w:t xml:space="preserve"> B→D14, 0.62), and a Frank-style</w:t>
      </w:r>
      <w:r>
        <w:rPr>
          <w:rFonts w:ascii="Times New Roman" w:hAnsi="Times New Roman"/>
          <w:b w:val="0"/>
          <w:i w:val="0"/>
          <w:sz w:val="24"/>
          <w:vertAlign w:val="superscript"/>
        </w:rPr>
        <w:t>11</w:t>
      </w:r>
      <w:r>
        <w:rPr>
          <w:rFonts w:ascii="Times New Roman" w:hAnsi="Times New Roman"/>
          <w:b w:val="0"/>
          <w:i w:val="0"/>
          <w:sz w:val="24"/>
        </w:rPr>
        <w:t xml:space="preserve"> binary classifier refitted at day 28 (20/42 detectable; HR 2.73, </w:t>
      </w:r>
      <w:r>
        <w:rPr>
          <w:rFonts w:ascii="Times New Roman" w:hAnsi="Times New Roman"/>
          <w:i/>
          <w:sz w:val="24"/>
        </w:rPr>
        <w:t>P</w:t>
      </w:r>
      <w:r>
        <w:rPr>
          <w:rFonts w:ascii="Times New Roman" w:hAnsi="Times New Roman"/>
          <w:b w:val="0"/>
          <w:i w:val="0"/>
          <w:sz w:val="24"/>
        </w:rPr>
        <w:t xml:space="preserve"> = .015; C-index 0.64; supplemental Table S18) — less discriminative and requiring two extra weeks of observation. These benchmarks rule out that the JLCM is a re-packaging of a day-14 value or a linear decay slope: the population-level latent geometry, against which each two-point slope is projected, supplies independent information.</w:t>
      </w:r>
    </w:p>
    <w:p>
      <w:pPr>
        <w:spacing w:before="0" w:after="120" w:line="480" w:lineRule="auto"/>
        <w:jc w:val="both"/>
      </w:pPr>
      <w:r>
        <w:rPr>
          <w:rFonts w:ascii="Times New Roman" w:hAnsi="Times New Roman"/>
          <w:b w:val="0"/>
          <w:i w:val="0"/>
          <w:sz w:val="24"/>
        </w:rPr>
        <w:t>A Firth-penalized sensitivity analysis</w:t>
      </w:r>
      <w:r>
        <w:rPr>
          <w:rFonts w:ascii="Times New Roman" w:hAnsi="Times New Roman"/>
          <w:b w:val="0"/>
          <w:i w:val="0"/>
          <w:sz w:val="24"/>
          <w:vertAlign w:val="superscript"/>
        </w:rPr>
        <w:t>20-21</w:t>
      </w:r>
      <w:r>
        <w:rPr>
          <w:rFonts w:ascii="Times New Roman" w:hAnsi="Times New Roman"/>
          <w:b w:val="0"/>
          <w:i w:val="0"/>
          <w:sz w:val="24"/>
        </w:rPr>
        <w:t xml:space="preserve"> confirmed the same direction and significance for both endpoints; absolute HR magnitudes under quasi-complete separation are not interpretable as point estimates and are reported in supplemental Table S19. Across the pre-specified penalizer-sensitivity grid, the bootstrap-corrected univariable C-index remained stable at ≈0.81 (EFS), confirming that the discriminative information of the classifier is independent of the penalty choice while the magnitude of the HR is structurally inflated by separation.</w:t>
      </w:r>
    </w:p>
    <w:p>
      <w:pPr>
        <w:spacing w:before="0" w:after="120" w:line="480" w:lineRule="auto"/>
        <w:jc w:val="both"/>
      </w:pPr>
      <w:r>
        <w:rPr>
          <w:rFonts w:ascii="Times New Roman" w:hAnsi="Times New Roman"/>
          <w:b w:val="0"/>
          <w:i w:val="0"/>
          <w:sz w:val="24"/>
        </w:rPr>
        <w:t>Second, IPI,</w:t>
      </w:r>
      <w:r>
        <w:rPr>
          <w:rFonts w:ascii="Times New Roman" w:hAnsi="Times New Roman"/>
          <w:b w:val="0"/>
          <w:i w:val="0"/>
          <w:sz w:val="24"/>
          <w:vertAlign w:val="superscript"/>
        </w:rPr>
        <w:t>22</w:t>
      </w:r>
      <w:r>
        <w:rPr>
          <w:rFonts w:ascii="Times New Roman" w:hAnsi="Times New Roman"/>
          <w:b w:val="0"/>
          <w:i w:val="0"/>
          <w:sz w:val="24"/>
        </w:rPr>
        <w:t xml:space="preserve"> baseline MTV,</w:t>
      </w:r>
      <w:r>
        <w:rPr>
          <w:rFonts w:ascii="Times New Roman" w:hAnsi="Times New Roman"/>
          <w:b w:val="0"/>
          <w:i w:val="0"/>
          <w:sz w:val="24"/>
          <w:vertAlign w:val="superscript"/>
        </w:rPr>
        <w:t>27-28</w:t>
      </w:r>
      <w:r>
        <w:rPr>
          <w:rFonts w:ascii="Times New Roman" w:hAnsi="Times New Roman"/>
          <w:b w:val="0"/>
          <w:i w:val="0"/>
          <w:sz w:val="24"/>
        </w:rPr>
        <w:t xml:space="preserve"> and Deauville/Lugano</w:t>
      </w:r>
      <w:r>
        <w:rPr>
          <w:rFonts w:ascii="Times New Roman" w:hAnsi="Times New Roman"/>
          <w:b w:val="0"/>
          <w:i w:val="0"/>
          <w:sz w:val="24"/>
          <w:vertAlign w:val="superscript"/>
        </w:rPr>
        <w:t>19</w:t>
      </w:r>
      <w:r>
        <w:rPr>
          <w:rFonts w:ascii="Times New Roman" w:hAnsi="Times New Roman"/>
          <w:b w:val="0"/>
          <w:i w:val="0"/>
          <w:sz w:val="24"/>
        </w:rPr>
        <w:t xml:space="preserve"> were enriched in our high-risk class but none retained prognostic significance after adjustment for the day-14 ctDNA-JLCM, consistent with the classifier capturing dynamic treatment response rather than static tumor burden. We do not propose to replace the Deauville/Lugano framework — validated at month 3 and end of treatment — but to position the ctDNA-JLCM as the prognostic tool of choice at the day-14 landmark, before interim metabolic response can be reliably interpreted.</w:t>
      </w:r>
    </w:p>
    <w:p>
      <w:pPr>
        <w:spacing w:before="0" w:after="120" w:line="480" w:lineRule="auto"/>
        <w:jc w:val="both"/>
      </w:pPr>
      <w:r>
        <w:rPr>
          <w:rFonts w:ascii="Times New Roman" w:hAnsi="Times New Roman"/>
          <w:b w:val="0"/>
          <w:i w:val="0"/>
          <w:sz w:val="24"/>
        </w:rPr>
        <w:t>Third, the biological substrate of the high-risk class warrants discussion. Persistent plasma ctDNA could reflect (i) residual viable malignant cells continuing to release tumor-derived fragments, or (ii) ongoing tumor lysis or apoptosis with cfDNA shedding from non-viable cells. The most parsimonious interpretation is that persistent shedding reflects residual viable lymphoma cells with ongoing molecular activity at the D14-M3 window — a hypothesis directly testable by paired CD3-depleted PBMC and matched plasma sequencing.</w:t>
      </w:r>
    </w:p>
    <w:p>
      <w:pPr>
        <w:spacing w:before="0" w:after="120" w:line="480" w:lineRule="auto"/>
        <w:jc w:val="both"/>
      </w:pPr>
      <w:r>
        <w:rPr>
          <w:rFonts w:ascii="Times New Roman" w:hAnsi="Times New Roman"/>
          <w:b w:val="0"/>
          <w:i w:val="0"/>
          <w:sz w:val="24"/>
        </w:rPr>
        <w:t>Our findings extend several earlier studies of ctDNA in lymphoma. Frank et al.</w:t>
      </w:r>
      <w:r>
        <w:rPr>
          <w:rFonts w:ascii="Times New Roman" w:hAnsi="Times New Roman"/>
          <w:b w:val="0"/>
          <w:i w:val="0"/>
          <w:sz w:val="24"/>
          <w:vertAlign w:val="superscript"/>
        </w:rPr>
        <w:t>11</w:t>
      </w:r>
      <w:r>
        <w:rPr>
          <w:rFonts w:ascii="Times New Roman" w:hAnsi="Times New Roman"/>
          <w:b w:val="0"/>
          <w:i w:val="0"/>
          <w:sz w:val="24"/>
        </w:rPr>
        <w:t xml:space="preserve"> established that detectable plasma ctDNA at day 28 after axi-cel identified patients with inferior PFS; the present day-14 classifier moves the actionable readout 14 days earlier and exploits the shape of decay rather than a fixed binary threshold. Sworder et al.</w:t>
      </w:r>
      <w:r>
        <w:rPr>
          <w:rFonts w:ascii="Times New Roman" w:hAnsi="Times New Roman"/>
          <w:b w:val="0"/>
          <w:i w:val="0"/>
          <w:sz w:val="24"/>
          <w:vertAlign w:val="superscript"/>
        </w:rPr>
        <w:t>12</w:t>
      </w:r>
      <w:r>
        <w:rPr>
          <w:rFonts w:ascii="Times New Roman" w:hAnsi="Times New Roman"/>
          <w:b w:val="0"/>
          <w:i w:val="0"/>
          <w:sz w:val="24"/>
        </w:rPr>
        <w:t xml:space="preserve"> identified </w:t>
      </w:r>
      <w:r>
        <w:rPr>
          <w:rFonts w:ascii="Times New Roman" w:hAnsi="Times New Roman"/>
          <w:i/>
          <w:sz w:val="24"/>
        </w:rPr>
        <w:t>TP53</w:t>
      </w:r>
      <w:r>
        <w:rPr>
          <w:rFonts w:ascii="Times New Roman" w:hAnsi="Times New Roman"/>
          <w:b w:val="0"/>
          <w:i w:val="0"/>
          <w:sz w:val="24"/>
        </w:rPr>
        <w:t xml:space="preserve"> alterations and CD19 escape as molecular drivers of failure; the JLCM phenotype is complementary. Meriranta et al.</w:t>
      </w:r>
      <w:r>
        <w:rPr>
          <w:rFonts w:ascii="Times New Roman" w:hAnsi="Times New Roman"/>
          <w:b w:val="0"/>
          <w:i w:val="0"/>
          <w:sz w:val="24"/>
          <w:vertAlign w:val="superscript"/>
        </w:rPr>
        <w:t>13</w:t>
      </w:r>
      <w:r>
        <w:rPr>
          <w:rFonts w:ascii="Times New Roman" w:hAnsi="Times New Roman"/>
          <w:b w:val="0"/>
          <w:i w:val="0"/>
          <w:sz w:val="24"/>
        </w:rPr>
        <w:t xml:space="preserve"> and Zou et al.</w:t>
      </w:r>
      <w:r>
        <w:rPr>
          <w:rFonts w:ascii="Times New Roman" w:hAnsi="Times New Roman"/>
          <w:b w:val="0"/>
          <w:i w:val="0"/>
          <w:sz w:val="24"/>
          <w:vertAlign w:val="superscript"/>
        </w:rPr>
        <w:t>14</w:t>
      </w:r>
      <w:r>
        <w:rPr>
          <w:rFonts w:ascii="Times New Roman" w:hAnsi="Times New Roman"/>
          <w:b w:val="0"/>
          <w:i w:val="0"/>
          <w:sz w:val="24"/>
        </w:rPr>
        <w:t xml:space="preserve"> established that dynamic ctDNA monitoring outperforms single landmarks; Stepan et al. (TRANSFORM)</w:t>
      </w:r>
      <w:r>
        <w:rPr>
          <w:rFonts w:ascii="Times New Roman" w:hAnsi="Times New Roman"/>
          <w:b w:val="0"/>
          <w:i w:val="0"/>
          <w:sz w:val="24"/>
          <w:vertAlign w:val="superscript"/>
        </w:rPr>
        <w:t>15</w:t>
      </w:r>
      <w:r>
        <w:rPr>
          <w:rFonts w:ascii="Times New Roman" w:hAnsi="Times New Roman"/>
          <w:b w:val="0"/>
          <w:i w:val="0"/>
          <w:sz w:val="24"/>
        </w:rPr>
        <w:t xml:space="preserve"> provided cross-product evidence; Alig et al.</w:t>
      </w:r>
      <w:r>
        <w:rPr>
          <w:rFonts w:ascii="Times New Roman" w:hAnsi="Times New Roman"/>
          <w:b w:val="0"/>
          <w:i w:val="0"/>
          <w:sz w:val="24"/>
          <w:vertAlign w:val="superscript"/>
        </w:rPr>
        <w:t>29</w:t>
      </w:r>
      <w:r>
        <w:rPr>
          <w:rFonts w:ascii="Times New Roman" w:hAnsi="Times New Roman"/>
          <w:b w:val="0"/>
          <w:i w:val="0"/>
          <w:sz w:val="24"/>
        </w:rPr>
        <w:t xml:space="preserve"> extended ctDNA exploitation to fragmentomics and methylome — orthogonal dimensions that could enrich the latent-class framework.</w:t>
      </w:r>
    </w:p>
    <w:p>
      <w:pPr>
        <w:spacing w:before="0" w:after="120" w:line="480" w:lineRule="auto"/>
        <w:jc w:val="both"/>
      </w:pPr>
      <w:r>
        <w:rPr>
          <w:rFonts w:ascii="Times New Roman" w:hAnsi="Times New Roman"/>
          <w:b w:val="0"/>
          <w:i w:val="0"/>
          <w:sz w:val="24"/>
        </w:rPr>
        <w:t>Strengths include prospective sampling within a uniformly treated trial cohort, pre-specified continuous and Frank-style benchmarks, matched-architecture MTV-JLCM and Deauville-JLCM comparators, and a real-world external cohort processed by the same central laboratory.</w:t>
      </w:r>
    </w:p>
    <w:p>
      <w:pPr>
        <w:spacing w:before="0" w:after="120" w:line="480" w:lineRule="auto"/>
        <w:jc w:val="both"/>
      </w:pPr>
      <w:r>
        <w:rPr>
          <w:rFonts w:ascii="Times New Roman" w:hAnsi="Times New Roman"/>
          <w:b w:val="0"/>
          <w:i w:val="0"/>
          <w:sz w:val="24"/>
        </w:rPr>
        <w:t xml:space="preserve">Limitations warrant explicit discussion. First, the training cohort is modest (n = 57 trained, of whom 48 had paired baseline–D14 samples; n = 44 classifiable with complete covariates). Second, the multivariable Cox model is necessarily overfit (.632+ optimism +0.31 EFS, +0.28 OS) given 3 covariates, 21 lymphoma events, and quasi-complete separation; we therefore use the bootstrap-corrected univariable C-index as the primary metric and present the multivariable model only as a finding consistent with independence from IPI and MTV. Third, external validation was single-center retrospective (n = 18); the wide EFS HR CI (1.98-34.94) and CAR-T product heterogeneity limit this evidence to confirmatory, and prospective multicentric validation remains the necessary next step. Fourth, the JLCM estimation is sensitive to random initialization and intrinsically shares information between class training and outcome evaluation through the Weibull-linked latent-class survival submodel; we addressed this by fixing seed = 123 — selected from a pre-specified grid of 20 candidate initializations on the basis of </w:t>
      </w:r>
      <w:r>
        <w:rPr>
          <w:rFonts w:ascii="Consolas" w:hAnsi="Consolas"/>
          <w:sz w:val="21"/>
        </w:rPr>
        <w:t>predictClass</w:t>
      </w:r>
      <w:r>
        <w:rPr>
          <w:rFonts w:ascii="Times New Roman" w:hAnsi="Times New Roman"/>
          <w:b w:val="0"/>
          <w:i w:val="0"/>
          <w:sz w:val="24"/>
        </w:rPr>
        <w:t xml:space="preserve"> stability (the operational criterion for a deployable classifier), with BIC as a secondary tie-breaker — reporting class-assignment stability across BIC-compatible seeds (supplemental Table S14), and LOO cross-validation (median 0.98); these mitigate but do not eliminate the data-sharing, and the discrimination reported here is intra-cohort apparent performance under quasi-complete separation. Fifth, patients dying before day 14 were excluded by design; we mitigated immortal-time bias by anchoring all analyses at the day-14 landmark. Sixth, the day-14 class is not yet directly actionable: no randomized trial has demonstrated that day-14-ctDNA-triggered intervention improves outcomes. Seventh, the CAPP-Seq panel covers </w:t>
      </w:r>
      <w:r>
        <w:rPr>
          <w:rFonts w:ascii="Times New Roman" w:hAnsi="Times New Roman"/>
          <w:i/>
          <w:sz w:val="24"/>
        </w:rPr>
        <w:t>TP53</w:t>
      </w:r>
      <w:r>
        <w:rPr>
          <w:rFonts w:ascii="Times New Roman" w:hAnsi="Times New Roman"/>
          <w:b w:val="0"/>
          <w:i w:val="0"/>
          <w:sz w:val="24"/>
        </w:rPr>
        <w:t xml:space="preserve">, </w:t>
      </w:r>
      <w:r>
        <w:rPr>
          <w:rFonts w:ascii="Times New Roman" w:hAnsi="Times New Roman"/>
          <w:i/>
          <w:sz w:val="24"/>
        </w:rPr>
        <w:t>DNMT3A</w:t>
      </w:r>
      <w:r>
        <w:rPr>
          <w:rFonts w:ascii="Times New Roman" w:hAnsi="Times New Roman"/>
          <w:b w:val="0"/>
          <w:i w:val="0"/>
          <w:sz w:val="24"/>
        </w:rPr>
        <w:t xml:space="preserve">, </w:t>
      </w:r>
      <w:r>
        <w:rPr>
          <w:rFonts w:ascii="Times New Roman" w:hAnsi="Times New Roman"/>
          <w:i/>
          <w:sz w:val="24"/>
        </w:rPr>
        <w:t>TET2</w:t>
      </w:r>
      <w:r>
        <w:rPr>
          <w:rFonts w:ascii="Times New Roman" w:hAnsi="Times New Roman"/>
          <w:b w:val="0"/>
          <w:i w:val="0"/>
          <w:sz w:val="24"/>
        </w:rPr>
        <w:t xml:space="preserve">, and </w:t>
      </w:r>
      <w:r>
        <w:rPr>
          <w:rFonts w:ascii="Times New Roman" w:hAnsi="Times New Roman"/>
          <w:i/>
          <w:sz w:val="24"/>
        </w:rPr>
        <w:t>ASXL1</w:t>
      </w:r>
      <w:r>
        <w:rPr>
          <w:rFonts w:ascii="Times New Roman" w:hAnsi="Times New Roman"/>
          <w:b w:val="0"/>
          <w:i w:val="0"/>
          <w:sz w:val="24"/>
        </w:rPr>
        <w:t xml:space="preserve"> — genes recurrently implicated in clonal hematopoiesis (CHIP). We minimized CHIP contribution by retaining only variants in B-cell-lymphoma-recurrent regions with duplex UMI error correction at VAF ≥0.005, but matched PBMC sequencing was not performed; future cohorts should include CD3-depleted PBMC sequencing. Finally, the negative Deauville-JLCM findings reflect early post-CAR-T PET being confounded by inflammation; the apparent bivariate OS protective signal for JLCM-Deauville (HR 0.27, </w:t>
      </w:r>
      <w:r>
        <w:rPr>
          <w:rFonts w:ascii="Times New Roman" w:hAnsi="Times New Roman"/>
          <w:i/>
          <w:sz w:val="24"/>
        </w:rPr>
        <w:t>P</w:t>
      </w:r>
      <w:r>
        <w:rPr>
          <w:rFonts w:ascii="Times New Roman" w:hAnsi="Times New Roman"/>
          <w:b w:val="0"/>
          <w:i w:val="0"/>
          <w:sz w:val="24"/>
        </w:rPr>
        <w:t xml:space="preserve"> = .044) is artefactual.</w:t>
      </w:r>
    </w:p>
    <w:p>
      <w:pPr>
        <w:spacing w:before="0" w:after="120" w:line="480" w:lineRule="auto"/>
        <w:jc w:val="both"/>
      </w:pPr>
      <w:r>
        <w:rPr>
          <w:rFonts w:ascii="Times New Roman" w:hAnsi="Times New Roman"/>
          <w:b w:val="0"/>
          <w:i w:val="0"/>
          <w:sz w:val="24"/>
        </w:rPr>
        <w:t>Three concurrent paths follow: (i) prospective multicentric validation in independent CAR-T cohorts — TRANSFORM,</w:t>
      </w:r>
      <w:r>
        <w:rPr>
          <w:rFonts w:ascii="Times New Roman" w:hAnsi="Times New Roman"/>
          <w:b w:val="0"/>
          <w:i w:val="0"/>
          <w:sz w:val="24"/>
          <w:vertAlign w:val="superscript"/>
        </w:rPr>
        <w:t>15</w:t>
      </w:r>
      <w:r>
        <w:rPr>
          <w:rFonts w:ascii="Times New Roman" w:hAnsi="Times New Roman"/>
          <w:b w:val="0"/>
          <w:i w:val="0"/>
          <w:sz w:val="24"/>
        </w:rPr>
        <w:t xml:space="preserve"> ZUMA-7, and the EBMT-EHA-JACIE registry; (ii) integration with multi-omic ctDNA features (fragmentomics, methylome, mutational profiling</w:t>
      </w:r>
      <w:r>
        <w:rPr>
          <w:rFonts w:ascii="Times New Roman" w:hAnsi="Times New Roman"/>
          <w:b w:val="0"/>
          <w:i w:val="0"/>
          <w:sz w:val="24"/>
          <w:vertAlign w:val="superscript"/>
        </w:rPr>
        <w:t>13,29</w:t>
      </w:r>
      <w:r>
        <w:rPr>
          <w:rFonts w:ascii="Times New Roman" w:hAnsi="Times New Roman"/>
          <w:b w:val="0"/>
          <w:i w:val="0"/>
          <w:sz w:val="24"/>
        </w:rPr>
        <w:t>); and (iii) a randomized trial of day-14-ctDNA-triggered intensification (bispecific consolidation: glofitamab</w:t>
      </w:r>
      <w:r>
        <w:rPr>
          <w:rFonts w:ascii="Times New Roman" w:hAnsi="Times New Roman"/>
          <w:b w:val="0"/>
          <w:i w:val="0"/>
          <w:sz w:val="24"/>
          <w:vertAlign w:val="superscript"/>
        </w:rPr>
        <w:t>30</w:t>
      </w:r>
      <w:r>
        <w:rPr>
          <w:rFonts w:ascii="Times New Roman" w:hAnsi="Times New Roman"/>
          <w:b w:val="0"/>
          <w:i w:val="0"/>
          <w:sz w:val="24"/>
        </w:rPr>
        <w:t xml:space="preserve"> or epcoritamab</w:t>
      </w:r>
      <w:r>
        <w:rPr>
          <w:rFonts w:ascii="Times New Roman" w:hAnsi="Times New Roman"/>
          <w:b w:val="0"/>
          <w:i w:val="0"/>
          <w:sz w:val="24"/>
          <w:vertAlign w:val="superscript"/>
        </w:rPr>
        <w:t>31</w:t>
      </w:r>
      <w:r>
        <w:rPr>
          <w:rFonts w:ascii="Times New Roman" w:hAnsi="Times New Roman"/>
          <w:b w:val="0"/>
          <w:i w:val="0"/>
          <w:sz w:val="24"/>
        </w:rPr>
        <w:t>), supported by the absolute risk gradient documented here (12-month lymphoma EFS, 100% vs 0%).</w:t>
      </w:r>
    </w:p>
    <w:p>
      <w:pPr>
        <w:spacing w:before="0" w:after="120" w:line="480" w:lineRule="auto"/>
        <w:jc w:val="both"/>
      </w:pPr>
      <w:r>
        <w:rPr>
          <w:rFonts w:ascii="Times New Roman" w:hAnsi="Times New Roman"/>
          <w:b w:val="0"/>
          <w:i w:val="0"/>
          <w:sz w:val="24"/>
        </w:rPr>
        <w:t>In summary, day-14 joint latent class modeling of plasma ctDNA stratified transplant-ineligible R/R LBCL patients into prognostic groups with a primary bootstrap-corrected univariable C-index of 0.81 (EFS) and 0.79 (OS), outperformed two continuous single-marker benchmarks and a Frank-style day-28 dichotomy refitted in our cohort, was independent of IPI, baseline MTV, and day-14 Deauville score, and was confirmed in a real-world cohort. These data support dynamic ctDNA-based stratification as a candidate stratification tool for prospective biomarker-guided early-intensification trials after CAR-T.</w:t>
      </w:r>
    </w:p>
    <w:p>
      <w:pPr>
        <w:spacing w:after="120" w:line="240" w:lineRule="auto"/>
      </w:pPr>
    </w:p>
    <w:p>
      <w:pPr>
        <w:keepNext/>
        <w:spacing w:before="280" w:after="160" w:line="288" w:lineRule="auto"/>
      </w:pPr>
      <w:r>
        <w:rPr>
          <w:rFonts w:ascii="Times New Roman" w:hAnsi="Times New Roman"/>
          <w:b/>
          <w:sz w:val="28"/>
        </w:rPr>
        <w:t>Tables</w:t>
      </w:r>
    </w:p>
    <w:p>
      <w:pPr>
        <w:keepNext/>
        <w:spacing w:before="200" w:after="120" w:line="288" w:lineRule="auto"/>
      </w:pPr>
      <w:r>
        <w:rPr>
          <w:rFonts w:ascii="Times New Roman" w:hAnsi="Times New Roman"/>
          <w:b/>
          <w:i/>
          <w:sz w:val="26"/>
        </w:rPr>
        <w:t>Table 1. Baseline characteristics of the ALYCANTE biomarker cohort by day-14 JLCM-ctDNA class</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shd w:val="clear" w:color="auto" w:fill="E7E6E6"/>
          </w:tcPr>
          <w:p>
            <w:pPr>
              <w:spacing w:before="0" w:after="0" w:line="264" w:lineRule="auto"/>
            </w:pPr>
            <w:r/>
            <w:r>
              <w:rPr>
                <w:rFonts w:ascii="Times New Roman" w:hAnsi="Times New Roman"/>
                <w:b/>
                <w:i w:val="0"/>
                <w:sz w:val="20"/>
              </w:rPr>
              <w:t>Characteristic</w:t>
            </w:r>
          </w:p>
        </w:tc>
        <w:tc>
          <w:tcPr>
            <w:tcW w:type="dxa" w:w="2351"/>
            <w:vAlign w:val="center"/>
            <w:shd w:val="clear" w:color="auto" w:fill="E7E6E6"/>
          </w:tcPr>
          <w:p>
            <w:pPr>
              <w:spacing w:before="0" w:after="0" w:line="264" w:lineRule="auto"/>
            </w:pPr>
            <w:r/>
            <w:r>
              <w:rPr>
                <w:rFonts w:ascii="Times New Roman" w:hAnsi="Times New Roman"/>
                <w:b/>
                <w:i w:val="0"/>
                <w:sz w:val="20"/>
              </w:rPr>
              <w:t>Low-risk (n = 22)</w:t>
            </w:r>
          </w:p>
        </w:tc>
        <w:tc>
          <w:tcPr>
            <w:tcW w:type="dxa" w:w="2351"/>
            <w:vAlign w:val="center"/>
            <w:shd w:val="clear" w:color="auto" w:fill="E7E6E6"/>
          </w:tcPr>
          <w:p>
            <w:pPr>
              <w:spacing w:before="0" w:after="0" w:line="264" w:lineRule="auto"/>
            </w:pPr>
            <w:r/>
            <w:r>
              <w:rPr>
                <w:rFonts w:ascii="Times New Roman" w:hAnsi="Times New Roman"/>
                <w:b/>
                <w:i w:val="0"/>
                <w:sz w:val="20"/>
              </w:rPr>
              <w:t>High-risk (n = 22)</w:t>
            </w:r>
          </w:p>
        </w:tc>
        <w:tc>
          <w:tcPr>
            <w:tcW w:type="dxa" w:w="2351"/>
            <w:vAlign w:val="center"/>
            <w:shd w:val="clear" w:color="auto" w:fill="E7E6E6"/>
          </w:tcPr>
          <w:p>
            <w:pPr>
              <w:spacing w:before="0" w:after="0" w:line="264" w:lineRule="auto"/>
            </w:pPr>
            <w:r/>
            <w:r>
              <w:rPr>
                <w:rFonts w:ascii="Times New Roman" w:hAnsi="Times New Roman"/>
                <w:b/>
                <w:i/>
                <w:sz w:val="20"/>
              </w:rPr>
              <w:t>P</w:t>
            </w:r>
            <w:r>
              <w:rPr>
                <w:rFonts w:ascii="Times New Roman" w:hAnsi="Times New Roman"/>
                <w:b/>
                <w:i w:val="0"/>
                <w:sz w:val="20"/>
              </w:rPr>
              <w:t xml:space="preserve"> value</w:t>
            </w:r>
          </w:p>
        </w:tc>
      </w:tr>
      <w:tr>
        <w:tc>
          <w:tcPr>
            <w:tcW w:type="dxa" w:w="2351"/>
            <w:vAlign w:val="center"/>
          </w:tcPr>
          <w:p>
            <w:pPr>
              <w:spacing w:before="0" w:after="0" w:line="264" w:lineRule="auto"/>
            </w:pPr>
            <w:r/>
            <w:r>
              <w:rPr>
                <w:rFonts w:ascii="Times New Roman" w:hAnsi="Times New Roman"/>
                <w:b w:val="0"/>
                <w:i w:val="0"/>
                <w:sz w:val="20"/>
              </w:rPr>
              <w:t>Age, y, median (IQR)</w:t>
            </w:r>
          </w:p>
        </w:tc>
        <w:tc>
          <w:tcPr>
            <w:tcW w:type="dxa" w:w="2351"/>
            <w:vAlign w:val="center"/>
          </w:tcPr>
          <w:p>
            <w:pPr>
              <w:spacing w:before="0" w:after="0" w:line="264" w:lineRule="auto"/>
            </w:pPr>
            <w:r/>
            <w:r>
              <w:rPr>
                <w:rFonts w:ascii="Times New Roman" w:hAnsi="Times New Roman"/>
                <w:b w:val="0"/>
                <w:i w:val="0"/>
                <w:sz w:val="20"/>
              </w:rPr>
              <w:t>69 (66-73)</w:t>
            </w:r>
          </w:p>
        </w:tc>
        <w:tc>
          <w:tcPr>
            <w:tcW w:type="dxa" w:w="2351"/>
            <w:vAlign w:val="center"/>
          </w:tcPr>
          <w:p>
            <w:pPr>
              <w:spacing w:before="0" w:after="0" w:line="264" w:lineRule="auto"/>
            </w:pPr>
            <w:r/>
            <w:r>
              <w:rPr>
                <w:rFonts w:ascii="Times New Roman" w:hAnsi="Times New Roman"/>
                <w:b w:val="0"/>
                <w:i w:val="0"/>
                <w:sz w:val="20"/>
              </w:rPr>
              <w:t>71 (67-74)</w:t>
            </w:r>
          </w:p>
        </w:tc>
        <w:tc>
          <w:tcPr>
            <w:tcW w:type="dxa" w:w="2351"/>
            <w:vAlign w:val="center"/>
          </w:tcPr>
          <w:p>
            <w:pPr>
              <w:spacing w:before="0" w:after="0" w:line="264" w:lineRule="auto"/>
            </w:pPr>
            <w:r/>
            <w:r>
              <w:rPr>
                <w:rFonts w:ascii="Times New Roman" w:hAnsi="Times New Roman"/>
                <w:b w:val="0"/>
                <w:i w:val="0"/>
                <w:sz w:val="20"/>
              </w:rPr>
              <w:t>.451</w:t>
            </w:r>
          </w:p>
        </w:tc>
      </w:tr>
      <w:tr>
        <w:tc>
          <w:tcPr>
            <w:tcW w:type="dxa" w:w="2351"/>
            <w:vAlign w:val="center"/>
          </w:tcPr>
          <w:p>
            <w:pPr>
              <w:spacing w:before="0" w:after="0" w:line="264" w:lineRule="auto"/>
            </w:pPr>
            <w:r/>
            <w:r>
              <w:rPr>
                <w:rFonts w:ascii="Times New Roman" w:hAnsi="Times New Roman"/>
                <w:b w:val="0"/>
                <w:i w:val="0"/>
                <w:sz w:val="20"/>
              </w:rPr>
              <w:t>Age ≥65, n (%)</w:t>
            </w:r>
          </w:p>
        </w:tc>
        <w:tc>
          <w:tcPr>
            <w:tcW w:type="dxa" w:w="2351"/>
            <w:vAlign w:val="center"/>
          </w:tcPr>
          <w:p>
            <w:pPr>
              <w:spacing w:before="0" w:after="0" w:line="264" w:lineRule="auto"/>
            </w:pPr>
            <w:r/>
            <w:r>
              <w:rPr>
                <w:rFonts w:ascii="Times New Roman" w:hAnsi="Times New Roman"/>
                <w:b w:val="0"/>
                <w:i w:val="0"/>
                <w:sz w:val="20"/>
              </w:rPr>
              <w:t>19 (86.4)</w:t>
            </w:r>
          </w:p>
        </w:tc>
        <w:tc>
          <w:tcPr>
            <w:tcW w:type="dxa" w:w="2351"/>
            <w:vAlign w:val="center"/>
          </w:tcPr>
          <w:p>
            <w:pPr>
              <w:spacing w:before="0" w:after="0" w:line="264" w:lineRule="auto"/>
            </w:pPr>
            <w:r/>
            <w:r>
              <w:rPr>
                <w:rFonts w:ascii="Times New Roman" w:hAnsi="Times New Roman"/>
                <w:b w:val="0"/>
                <w:i w:val="0"/>
                <w:sz w:val="20"/>
              </w:rPr>
              <w:t>19 (86.4)</w:t>
            </w:r>
          </w:p>
        </w:tc>
        <w:tc>
          <w:tcPr>
            <w:tcW w:type="dxa" w:w="2351"/>
            <w:vAlign w:val="center"/>
          </w:tcPr>
          <w:p>
            <w:pPr>
              <w:spacing w:before="0" w:after="0" w:line="264" w:lineRule="auto"/>
            </w:pPr>
            <w:r/>
            <w:r>
              <w:rPr>
                <w:rFonts w:ascii="Times New Roman" w:hAnsi="Times New Roman"/>
                <w:b w:val="0"/>
                <w:i w:val="0"/>
                <w:sz w:val="20"/>
              </w:rPr>
              <w:t>1.000</w:t>
            </w:r>
          </w:p>
        </w:tc>
      </w:tr>
      <w:tr>
        <w:tc>
          <w:tcPr>
            <w:tcW w:type="dxa" w:w="2351"/>
            <w:vAlign w:val="center"/>
          </w:tcPr>
          <w:p>
            <w:pPr>
              <w:spacing w:before="0" w:after="0" w:line="264" w:lineRule="auto"/>
            </w:pPr>
            <w:r/>
            <w:r>
              <w:rPr>
                <w:rFonts w:ascii="Times New Roman" w:hAnsi="Times New Roman"/>
                <w:b w:val="0"/>
                <w:i w:val="0"/>
                <w:sz w:val="20"/>
              </w:rPr>
              <w:t>Male sex, n (%)</w:t>
            </w:r>
          </w:p>
        </w:tc>
        <w:tc>
          <w:tcPr>
            <w:tcW w:type="dxa" w:w="2351"/>
            <w:vAlign w:val="center"/>
          </w:tcPr>
          <w:p>
            <w:pPr>
              <w:spacing w:before="0" w:after="0" w:line="264" w:lineRule="auto"/>
            </w:pPr>
            <w:r/>
            <w:r>
              <w:rPr>
                <w:rFonts w:ascii="Times New Roman" w:hAnsi="Times New Roman"/>
                <w:b w:val="0"/>
                <w:i w:val="0"/>
                <w:sz w:val="20"/>
              </w:rPr>
              <w:t>13 (59.1)</w:t>
            </w:r>
          </w:p>
        </w:tc>
        <w:tc>
          <w:tcPr>
            <w:tcW w:type="dxa" w:w="2351"/>
            <w:vAlign w:val="center"/>
          </w:tcPr>
          <w:p>
            <w:pPr>
              <w:spacing w:before="0" w:after="0" w:line="264" w:lineRule="auto"/>
            </w:pPr>
            <w:r/>
            <w:r>
              <w:rPr>
                <w:rFonts w:ascii="Times New Roman" w:hAnsi="Times New Roman"/>
                <w:b w:val="0"/>
                <w:i w:val="0"/>
                <w:sz w:val="20"/>
              </w:rPr>
              <w:t>19 (86.4)</w:t>
            </w:r>
          </w:p>
        </w:tc>
        <w:tc>
          <w:tcPr>
            <w:tcW w:type="dxa" w:w="2351"/>
            <w:vAlign w:val="center"/>
          </w:tcPr>
          <w:p>
            <w:pPr>
              <w:spacing w:before="0" w:after="0" w:line="264" w:lineRule="auto"/>
            </w:pPr>
            <w:r/>
            <w:r>
              <w:rPr>
                <w:rFonts w:ascii="Times New Roman" w:hAnsi="Times New Roman"/>
                <w:b w:val="0"/>
                <w:i w:val="0"/>
                <w:sz w:val="20"/>
              </w:rPr>
              <w:t>.088</w:t>
            </w:r>
          </w:p>
        </w:tc>
      </w:tr>
      <w:tr>
        <w:tc>
          <w:tcPr>
            <w:tcW w:type="dxa" w:w="2351"/>
            <w:vAlign w:val="center"/>
          </w:tcPr>
          <w:p>
            <w:pPr>
              <w:spacing w:before="0" w:after="0" w:line="264" w:lineRule="auto"/>
            </w:pPr>
            <w:r/>
            <w:r>
              <w:rPr>
                <w:rFonts w:ascii="Times New Roman" w:hAnsi="Times New Roman"/>
                <w:b w:val="0"/>
                <w:i w:val="0"/>
                <w:sz w:val="20"/>
              </w:rPr>
              <w:t>ECOG ≥2, n (%)</w:t>
            </w:r>
          </w:p>
        </w:tc>
        <w:tc>
          <w:tcPr>
            <w:tcW w:type="dxa" w:w="2351"/>
            <w:vAlign w:val="center"/>
          </w:tcPr>
          <w:p>
            <w:pPr>
              <w:spacing w:before="0" w:after="0" w:line="264" w:lineRule="auto"/>
            </w:pPr>
            <w:r/>
            <w:r>
              <w:rPr>
                <w:rFonts w:ascii="Times New Roman" w:hAnsi="Times New Roman"/>
                <w:b w:val="0"/>
                <w:i w:val="0"/>
                <w:sz w:val="20"/>
              </w:rPr>
              <w:t>1 (4.5)</w:t>
            </w:r>
          </w:p>
        </w:tc>
        <w:tc>
          <w:tcPr>
            <w:tcW w:type="dxa" w:w="2351"/>
            <w:vAlign w:val="center"/>
          </w:tcPr>
          <w:p>
            <w:pPr>
              <w:spacing w:before="0" w:after="0" w:line="264" w:lineRule="auto"/>
            </w:pPr>
            <w:r/>
            <w:r>
              <w:rPr>
                <w:rFonts w:ascii="Times New Roman" w:hAnsi="Times New Roman"/>
                <w:b w:val="0"/>
                <w:i w:val="0"/>
                <w:sz w:val="20"/>
              </w:rPr>
              <w:t>0 (0.0)</w:t>
            </w:r>
          </w:p>
        </w:tc>
        <w:tc>
          <w:tcPr>
            <w:tcW w:type="dxa" w:w="2351"/>
            <w:vAlign w:val="center"/>
          </w:tcPr>
          <w:p>
            <w:pPr>
              <w:spacing w:before="0" w:after="0" w:line="264" w:lineRule="auto"/>
            </w:pPr>
            <w:r/>
            <w:r>
              <w:rPr>
                <w:rFonts w:ascii="Times New Roman" w:hAnsi="Times New Roman"/>
                <w:b w:val="0"/>
                <w:i w:val="0"/>
                <w:sz w:val="20"/>
              </w:rPr>
              <w:t>1.000</w:t>
            </w:r>
          </w:p>
        </w:tc>
      </w:tr>
      <w:tr>
        <w:tc>
          <w:tcPr>
            <w:tcW w:type="dxa" w:w="2351"/>
            <w:vAlign w:val="center"/>
          </w:tcPr>
          <w:p>
            <w:pPr>
              <w:spacing w:before="0" w:after="0" w:line="264" w:lineRule="auto"/>
            </w:pPr>
            <w:r/>
            <w:r>
              <w:rPr>
                <w:rFonts w:ascii="Times New Roman" w:hAnsi="Times New Roman"/>
                <w:b w:val="0"/>
                <w:i w:val="0"/>
                <w:sz w:val="20"/>
              </w:rPr>
              <w:t>IPI ≥3, n (%)</w:t>
            </w:r>
          </w:p>
        </w:tc>
        <w:tc>
          <w:tcPr>
            <w:tcW w:type="dxa" w:w="2351"/>
            <w:vAlign w:val="center"/>
          </w:tcPr>
          <w:p>
            <w:pPr>
              <w:spacing w:before="0" w:after="0" w:line="264" w:lineRule="auto"/>
            </w:pPr>
            <w:r/>
            <w:r>
              <w:rPr>
                <w:rFonts w:ascii="Times New Roman" w:hAnsi="Times New Roman"/>
                <w:b w:val="0"/>
                <w:i w:val="0"/>
                <w:sz w:val="20"/>
              </w:rPr>
              <w:t>8 (36.4)</w:t>
            </w:r>
          </w:p>
        </w:tc>
        <w:tc>
          <w:tcPr>
            <w:tcW w:type="dxa" w:w="2351"/>
            <w:vAlign w:val="center"/>
          </w:tcPr>
          <w:p>
            <w:pPr>
              <w:spacing w:before="0" w:after="0" w:line="264" w:lineRule="auto"/>
            </w:pPr>
            <w:r/>
            <w:r>
              <w:rPr>
                <w:rFonts w:ascii="Times New Roman" w:hAnsi="Times New Roman"/>
                <w:b w:val="0"/>
                <w:i w:val="0"/>
                <w:sz w:val="20"/>
              </w:rPr>
              <w:t>17 (77.3)</w:t>
            </w:r>
          </w:p>
        </w:tc>
        <w:tc>
          <w:tcPr>
            <w:tcW w:type="dxa" w:w="2351"/>
            <w:vAlign w:val="center"/>
          </w:tcPr>
          <w:p>
            <w:pPr>
              <w:spacing w:before="0" w:after="0" w:line="264" w:lineRule="auto"/>
            </w:pPr>
            <w:r/>
            <w:r>
              <w:rPr>
                <w:rFonts w:ascii="Times New Roman" w:hAnsi="Times New Roman"/>
                <w:b/>
                <w:sz w:val="20"/>
              </w:rPr>
              <w:t>.014</w:t>
            </w:r>
          </w:p>
        </w:tc>
      </w:tr>
      <w:tr>
        <w:tc>
          <w:tcPr>
            <w:tcW w:type="dxa" w:w="2351"/>
            <w:vAlign w:val="center"/>
          </w:tcPr>
          <w:p>
            <w:pPr>
              <w:spacing w:before="0" w:after="0" w:line="264" w:lineRule="auto"/>
            </w:pPr>
            <w:r/>
            <w:r>
              <w:rPr>
                <w:rFonts w:ascii="Times New Roman" w:hAnsi="Times New Roman"/>
                <w:b w:val="0"/>
                <w:i w:val="0"/>
                <w:sz w:val="20"/>
              </w:rPr>
              <w:t>LDH &gt;ULN, n (%)</w:t>
            </w:r>
          </w:p>
        </w:tc>
        <w:tc>
          <w:tcPr>
            <w:tcW w:type="dxa" w:w="2351"/>
            <w:vAlign w:val="center"/>
          </w:tcPr>
          <w:p>
            <w:pPr>
              <w:spacing w:before="0" w:after="0" w:line="264" w:lineRule="auto"/>
            </w:pPr>
            <w:r/>
            <w:r>
              <w:rPr>
                <w:rFonts w:ascii="Times New Roman" w:hAnsi="Times New Roman"/>
                <w:b w:val="0"/>
                <w:i w:val="0"/>
                <w:sz w:val="20"/>
              </w:rPr>
              <w:t>13 (59.1)</w:t>
            </w:r>
          </w:p>
        </w:tc>
        <w:tc>
          <w:tcPr>
            <w:tcW w:type="dxa" w:w="2351"/>
            <w:vAlign w:val="center"/>
          </w:tcPr>
          <w:p>
            <w:pPr>
              <w:spacing w:before="0" w:after="0" w:line="264" w:lineRule="auto"/>
            </w:pPr>
            <w:r/>
            <w:r>
              <w:rPr>
                <w:rFonts w:ascii="Times New Roman" w:hAnsi="Times New Roman"/>
                <w:b w:val="0"/>
                <w:i w:val="0"/>
                <w:sz w:val="20"/>
              </w:rPr>
              <w:t>15 (68.2)</w:t>
            </w:r>
          </w:p>
        </w:tc>
        <w:tc>
          <w:tcPr>
            <w:tcW w:type="dxa" w:w="2351"/>
            <w:vAlign w:val="center"/>
          </w:tcPr>
          <w:p>
            <w:pPr>
              <w:spacing w:before="0" w:after="0" w:line="264" w:lineRule="auto"/>
            </w:pPr>
            <w:r/>
            <w:r>
              <w:rPr>
                <w:rFonts w:ascii="Times New Roman" w:hAnsi="Times New Roman"/>
                <w:b w:val="0"/>
                <w:i w:val="0"/>
                <w:sz w:val="20"/>
              </w:rPr>
              <w:t>.755</w:t>
            </w:r>
          </w:p>
        </w:tc>
      </w:tr>
      <w:tr>
        <w:tc>
          <w:tcPr>
            <w:tcW w:type="dxa" w:w="2351"/>
            <w:vAlign w:val="center"/>
          </w:tcPr>
          <w:p>
            <w:pPr>
              <w:spacing w:before="0" w:after="0" w:line="264" w:lineRule="auto"/>
            </w:pPr>
            <w:r/>
            <w:r>
              <w:rPr>
                <w:rFonts w:ascii="Times New Roman" w:hAnsi="Times New Roman"/>
                <w:b w:val="0"/>
                <w:i w:val="0"/>
                <w:sz w:val="20"/>
              </w:rPr>
              <w:t>Bone marrow involvement, n (%)</w:t>
            </w:r>
          </w:p>
        </w:tc>
        <w:tc>
          <w:tcPr>
            <w:tcW w:type="dxa" w:w="2351"/>
            <w:vAlign w:val="center"/>
          </w:tcPr>
          <w:p>
            <w:pPr>
              <w:spacing w:before="0" w:after="0" w:line="264" w:lineRule="auto"/>
            </w:pPr>
            <w:r/>
            <w:r>
              <w:rPr>
                <w:rFonts w:ascii="Times New Roman" w:hAnsi="Times New Roman"/>
                <w:b w:val="0"/>
                <w:i w:val="0"/>
                <w:sz w:val="20"/>
              </w:rPr>
              <w:t>0 (0.0)</w:t>
            </w:r>
          </w:p>
        </w:tc>
        <w:tc>
          <w:tcPr>
            <w:tcW w:type="dxa" w:w="2351"/>
            <w:vAlign w:val="center"/>
          </w:tcPr>
          <w:p>
            <w:pPr>
              <w:spacing w:before="0" w:after="0" w:line="264" w:lineRule="auto"/>
            </w:pPr>
            <w:r/>
            <w:r>
              <w:rPr>
                <w:rFonts w:ascii="Times New Roman" w:hAnsi="Times New Roman"/>
                <w:b w:val="0"/>
                <w:i w:val="0"/>
                <w:sz w:val="20"/>
              </w:rPr>
              <w:t>0 (0.0)</w:t>
            </w:r>
          </w:p>
        </w:tc>
        <w:tc>
          <w:tcPr>
            <w:tcW w:type="dxa" w:w="2351"/>
            <w:vAlign w:val="center"/>
          </w:tcPr>
          <w:p>
            <w:pPr>
              <w:spacing w:before="0" w:after="0" w:line="264" w:lineRule="auto"/>
            </w:pPr>
            <w:r/>
            <w:r>
              <w:rPr>
                <w:rFonts w:ascii="Times New Roman" w:hAnsi="Times New Roman"/>
                <w:b w:val="0"/>
                <w:i w:val="0"/>
                <w:sz w:val="20"/>
              </w:rPr>
              <w:t>1.000</w:t>
            </w:r>
          </w:p>
        </w:tc>
      </w:tr>
      <w:tr>
        <w:tc>
          <w:tcPr>
            <w:tcW w:type="dxa" w:w="2351"/>
            <w:vAlign w:val="center"/>
          </w:tcPr>
          <w:p>
            <w:pPr>
              <w:spacing w:before="0" w:after="0" w:line="264" w:lineRule="auto"/>
            </w:pPr>
            <w:r/>
            <w:r>
              <w:rPr>
                <w:rFonts w:ascii="Times New Roman" w:hAnsi="Times New Roman"/>
                <w:b w:val="0"/>
                <w:i w:val="0"/>
                <w:sz w:val="20"/>
              </w:rPr>
              <w:t>Baseline MTV, mL, median (IQR)</w:t>
            </w:r>
          </w:p>
        </w:tc>
        <w:tc>
          <w:tcPr>
            <w:tcW w:type="dxa" w:w="2351"/>
            <w:vAlign w:val="center"/>
          </w:tcPr>
          <w:p>
            <w:pPr>
              <w:spacing w:before="0" w:after="0" w:line="264" w:lineRule="auto"/>
            </w:pPr>
            <w:r/>
            <w:r>
              <w:rPr>
                <w:rFonts w:ascii="Times New Roman" w:hAnsi="Times New Roman"/>
                <w:b w:val="0"/>
                <w:i w:val="0"/>
                <w:sz w:val="20"/>
              </w:rPr>
              <w:t>42.8 (15.3-75.1)</w:t>
            </w:r>
          </w:p>
        </w:tc>
        <w:tc>
          <w:tcPr>
            <w:tcW w:type="dxa" w:w="2351"/>
            <w:vAlign w:val="center"/>
          </w:tcPr>
          <w:p>
            <w:pPr>
              <w:spacing w:before="0" w:after="0" w:line="264" w:lineRule="auto"/>
            </w:pPr>
            <w:r/>
            <w:r>
              <w:rPr>
                <w:rFonts w:ascii="Times New Roman" w:hAnsi="Times New Roman"/>
                <w:b w:val="0"/>
                <w:i w:val="0"/>
                <w:sz w:val="20"/>
              </w:rPr>
              <w:t>30.7 (15.2-170.9)</w:t>
            </w:r>
          </w:p>
        </w:tc>
        <w:tc>
          <w:tcPr>
            <w:tcW w:type="dxa" w:w="2351"/>
            <w:vAlign w:val="center"/>
          </w:tcPr>
          <w:p>
            <w:pPr>
              <w:spacing w:before="0" w:after="0" w:line="264" w:lineRule="auto"/>
            </w:pPr>
            <w:r/>
            <w:r>
              <w:rPr>
                <w:rFonts w:ascii="Times New Roman" w:hAnsi="Times New Roman"/>
                <w:b w:val="0"/>
                <w:i w:val="0"/>
                <w:sz w:val="20"/>
              </w:rPr>
              <w:t>.557</w:t>
            </w:r>
          </w:p>
        </w:tc>
      </w:tr>
      <w:tr>
        <w:tc>
          <w:tcPr>
            <w:tcW w:type="dxa" w:w="2351"/>
            <w:vAlign w:val="center"/>
          </w:tcPr>
          <w:p>
            <w:pPr>
              <w:spacing w:before="0" w:after="0" w:line="264" w:lineRule="auto"/>
            </w:pPr>
            <w:r/>
            <w:r>
              <w:rPr>
                <w:rFonts w:ascii="Times New Roman" w:hAnsi="Times New Roman"/>
                <w:b w:val="0"/>
                <w:i w:val="0"/>
                <w:sz w:val="20"/>
              </w:rPr>
              <w:t>Bridging therapy, n (%)</w:t>
            </w:r>
          </w:p>
        </w:tc>
        <w:tc>
          <w:tcPr>
            <w:tcW w:type="dxa" w:w="2351"/>
            <w:vAlign w:val="center"/>
          </w:tcPr>
          <w:p>
            <w:pPr>
              <w:spacing w:before="0" w:after="0" w:line="264" w:lineRule="auto"/>
            </w:pPr>
            <w:r/>
            <w:r>
              <w:rPr>
                <w:rFonts w:ascii="Times New Roman" w:hAnsi="Times New Roman"/>
                <w:b w:val="0"/>
                <w:i w:val="0"/>
                <w:sz w:val="20"/>
              </w:rPr>
              <w:t>16 (72.7)</w:t>
            </w:r>
          </w:p>
        </w:tc>
        <w:tc>
          <w:tcPr>
            <w:tcW w:type="dxa" w:w="2351"/>
            <w:vAlign w:val="center"/>
          </w:tcPr>
          <w:p>
            <w:pPr>
              <w:spacing w:before="0" w:after="0" w:line="264" w:lineRule="auto"/>
            </w:pPr>
            <w:r/>
            <w:r>
              <w:rPr>
                <w:rFonts w:ascii="Times New Roman" w:hAnsi="Times New Roman"/>
                <w:b w:val="0"/>
                <w:i w:val="0"/>
                <w:sz w:val="20"/>
              </w:rPr>
              <w:t>20 (90.9)</w:t>
            </w:r>
          </w:p>
        </w:tc>
        <w:tc>
          <w:tcPr>
            <w:tcW w:type="dxa" w:w="2351"/>
            <w:vAlign w:val="center"/>
          </w:tcPr>
          <w:p>
            <w:pPr>
              <w:spacing w:before="0" w:after="0" w:line="264" w:lineRule="auto"/>
            </w:pPr>
            <w:r/>
            <w:r>
              <w:rPr>
                <w:rFonts w:ascii="Times New Roman" w:hAnsi="Times New Roman"/>
                <w:b w:val="0"/>
                <w:i w:val="0"/>
                <w:sz w:val="20"/>
              </w:rPr>
              <w:t>.240</w:t>
            </w:r>
          </w:p>
        </w:tc>
      </w:tr>
      <w:tr>
        <w:tc>
          <w:tcPr>
            <w:tcW w:type="dxa" w:w="2351"/>
            <w:vAlign w:val="center"/>
          </w:tcPr>
          <w:p>
            <w:pPr>
              <w:spacing w:before="0" w:after="0" w:line="264" w:lineRule="auto"/>
            </w:pPr>
            <w:r/>
            <w:r>
              <w:rPr>
                <w:rFonts w:ascii="Times New Roman" w:hAnsi="Times New Roman"/>
                <w:b w:val="0"/>
                <w:i w:val="0"/>
                <w:sz w:val="20"/>
              </w:rPr>
              <w:t>Ann Arbor stage III-IV, n (%)</w:t>
            </w:r>
          </w:p>
        </w:tc>
        <w:tc>
          <w:tcPr>
            <w:tcW w:type="dxa" w:w="2351"/>
            <w:vAlign w:val="center"/>
          </w:tcPr>
          <w:p>
            <w:pPr>
              <w:spacing w:before="0" w:after="0" w:line="264" w:lineRule="auto"/>
            </w:pPr>
            <w:r/>
            <w:r>
              <w:rPr>
                <w:rFonts w:ascii="Times New Roman" w:hAnsi="Times New Roman"/>
                <w:b w:val="0"/>
                <w:i w:val="0"/>
                <w:sz w:val="20"/>
              </w:rPr>
              <w:t>14 (63.6)</w:t>
            </w:r>
          </w:p>
        </w:tc>
        <w:tc>
          <w:tcPr>
            <w:tcW w:type="dxa" w:w="2351"/>
            <w:vAlign w:val="center"/>
          </w:tcPr>
          <w:p>
            <w:pPr>
              <w:spacing w:before="0" w:after="0" w:line="264" w:lineRule="auto"/>
            </w:pPr>
            <w:r/>
            <w:r>
              <w:rPr>
                <w:rFonts w:ascii="Times New Roman" w:hAnsi="Times New Roman"/>
                <w:b w:val="0"/>
                <w:i w:val="0"/>
                <w:sz w:val="20"/>
              </w:rPr>
              <w:t>19 (86.4)</w:t>
            </w:r>
          </w:p>
        </w:tc>
        <w:tc>
          <w:tcPr>
            <w:tcW w:type="dxa" w:w="2351"/>
            <w:vAlign w:val="center"/>
          </w:tcPr>
          <w:p>
            <w:pPr>
              <w:spacing w:before="0" w:after="0" w:line="264" w:lineRule="auto"/>
            </w:pPr>
            <w:r/>
            <w:r>
              <w:rPr>
                <w:rFonts w:ascii="Times New Roman" w:hAnsi="Times New Roman"/>
                <w:b w:val="0"/>
                <w:i w:val="0"/>
                <w:sz w:val="20"/>
              </w:rPr>
              <w:t>.162</w:t>
            </w:r>
          </w:p>
        </w:tc>
      </w:tr>
      <w:tr>
        <w:tc>
          <w:tcPr>
            <w:tcW w:type="dxa" w:w="2351"/>
            <w:vAlign w:val="center"/>
          </w:tcPr>
          <w:p>
            <w:pPr>
              <w:spacing w:before="0" w:after="0" w:line="264" w:lineRule="auto"/>
            </w:pPr>
            <w:r/>
            <w:r>
              <w:rPr>
                <w:rFonts w:ascii="Times New Roman" w:hAnsi="Times New Roman"/>
                <w:b w:val="0"/>
                <w:i w:val="0"/>
                <w:sz w:val="20"/>
              </w:rPr>
              <w:t>B symptoms, n (%)</w:t>
            </w:r>
          </w:p>
        </w:tc>
        <w:tc>
          <w:tcPr>
            <w:tcW w:type="dxa" w:w="2351"/>
            <w:vAlign w:val="center"/>
          </w:tcPr>
          <w:p>
            <w:pPr>
              <w:spacing w:before="0" w:after="0" w:line="264" w:lineRule="auto"/>
            </w:pPr>
            <w:r/>
            <w:r>
              <w:rPr>
                <w:rFonts w:ascii="Times New Roman" w:hAnsi="Times New Roman"/>
                <w:b w:val="0"/>
                <w:i w:val="0"/>
                <w:sz w:val="20"/>
              </w:rPr>
              <w:t>3 (13.6)</w:t>
            </w:r>
          </w:p>
        </w:tc>
        <w:tc>
          <w:tcPr>
            <w:tcW w:type="dxa" w:w="2351"/>
            <w:vAlign w:val="center"/>
          </w:tcPr>
          <w:p>
            <w:pPr>
              <w:spacing w:before="0" w:after="0" w:line="264" w:lineRule="auto"/>
            </w:pPr>
            <w:r/>
            <w:r>
              <w:rPr>
                <w:rFonts w:ascii="Times New Roman" w:hAnsi="Times New Roman"/>
                <w:b w:val="0"/>
                <w:i w:val="0"/>
                <w:sz w:val="20"/>
              </w:rPr>
              <w:t>0 (0.0)</w:t>
            </w:r>
          </w:p>
        </w:tc>
        <w:tc>
          <w:tcPr>
            <w:tcW w:type="dxa" w:w="2351"/>
            <w:vAlign w:val="center"/>
          </w:tcPr>
          <w:p>
            <w:pPr>
              <w:spacing w:before="0" w:after="0" w:line="264" w:lineRule="auto"/>
            </w:pPr>
            <w:r/>
            <w:r>
              <w:rPr>
                <w:rFonts w:ascii="Times New Roman" w:hAnsi="Times New Roman"/>
                <w:b w:val="0"/>
                <w:i w:val="0"/>
                <w:sz w:val="20"/>
              </w:rPr>
              <w:t>.233</w:t>
            </w:r>
          </w:p>
        </w:tc>
      </w:tr>
      <w:tr>
        <w:tc>
          <w:tcPr>
            <w:tcW w:type="dxa" w:w="2351"/>
            <w:vAlign w:val="center"/>
          </w:tcPr>
          <w:p>
            <w:pPr>
              <w:spacing w:before="0" w:after="0" w:line="264" w:lineRule="auto"/>
            </w:pPr>
            <w:r/>
            <w:r>
              <w:rPr>
                <w:rFonts w:ascii="Times New Roman" w:hAnsi="Times New Roman"/>
                <w:b w:val="0"/>
                <w:i w:val="0"/>
                <w:sz w:val="20"/>
              </w:rPr>
              <w:t>Axi-cel, n (%)</w:t>
            </w:r>
          </w:p>
        </w:tc>
        <w:tc>
          <w:tcPr>
            <w:tcW w:type="dxa" w:w="2351"/>
            <w:vAlign w:val="center"/>
          </w:tcPr>
          <w:p>
            <w:pPr>
              <w:spacing w:before="0" w:after="0" w:line="264" w:lineRule="auto"/>
            </w:pPr>
            <w:r/>
            <w:r>
              <w:rPr>
                <w:rFonts w:ascii="Times New Roman" w:hAnsi="Times New Roman"/>
                <w:b w:val="0"/>
                <w:i w:val="0"/>
                <w:sz w:val="20"/>
              </w:rPr>
              <w:t>22 (100)</w:t>
            </w:r>
          </w:p>
        </w:tc>
        <w:tc>
          <w:tcPr>
            <w:tcW w:type="dxa" w:w="2351"/>
            <w:vAlign w:val="center"/>
          </w:tcPr>
          <w:p>
            <w:pPr>
              <w:spacing w:before="0" w:after="0" w:line="264" w:lineRule="auto"/>
            </w:pPr>
            <w:r/>
            <w:r>
              <w:rPr>
                <w:rFonts w:ascii="Times New Roman" w:hAnsi="Times New Roman"/>
                <w:b w:val="0"/>
                <w:i w:val="0"/>
                <w:sz w:val="20"/>
              </w:rPr>
              <w:t>22 (100)</w:t>
            </w:r>
          </w:p>
        </w:tc>
        <w:tc>
          <w:tcPr>
            <w:tcW w:type="dxa" w:w="2351"/>
            <w:vAlign w:val="center"/>
          </w:tcPr>
          <w:p>
            <w:pPr>
              <w:spacing w:before="0" w:after="0" w:line="264" w:lineRule="auto"/>
            </w:pPr>
            <w:r/>
            <w:r>
              <w:rPr>
                <w:rFonts w:ascii="Times New Roman" w:hAnsi="Times New Roman"/>
                <w:b w:val="0"/>
                <w:i w:val="0"/>
                <w:sz w:val="20"/>
              </w:rPr>
              <w:t>NA</w:t>
            </w:r>
          </w:p>
        </w:tc>
      </w:tr>
      <w:tr>
        <w:tc>
          <w:tcPr>
            <w:tcW w:type="dxa" w:w="2351"/>
            <w:vAlign w:val="center"/>
          </w:tcPr>
          <w:p>
            <w:pPr>
              <w:spacing w:before="0" w:after="0" w:line="264" w:lineRule="auto"/>
            </w:pPr>
            <w:r/>
            <w:r>
              <w:rPr>
                <w:rFonts w:ascii="Times New Roman" w:hAnsi="Times New Roman"/>
                <w:b w:val="0"/>
                <w:i w:val="0"/>
                <w:sz w:val="20"/>
              </w:rPr>
              <w:t>MRD-positive at baseline (n=41 evaluable)</w:t>
            </w:r>
            <w:r>
              <w:rPr>
                <w:rFonts w:ascii="Times New Roman" w:hAnsi="Times New Roman"/>
                <w:b w:val="0"/>
                <w:i w:val="0"/>
                <w:sz w:val="20"/>
                <w:vertAlign w:val="superscript"/>
              </w:rPr>
              <w:t>*</w:t>
            </w:r>
            <w:r>
              <w:rPr>
                <w:rFonts w:ascii="Times New Roman" w:hAnsi="Times New Roman"/>
                <w:b w:val="0"/>
                <w:i w:val="0"/>
                <w:sz w:val="20"/>
              </w:rPr>
              <w:t>, n (%)</w:t>
            </w:r>
          </w:p>
        </w:tc>
        <w:tc>
          <w:tcPr>
            <w:tcW w:type="dxa" w:w="2351"/>
            <w:vAlign w:val="center"/>
          </w:tcPr>
          <w:p>
            <w:pPr>
              <w:spacing w:before="0" w:after="0" w:line="264" w:lineRule="auto"/>
            </w:pPr>
            <w:r/>
            <w:r>
              <w:rPr>
                <w:rFonts w:ascii="Times New Roman" w:hAnsi="Times New Roman"/>
                <w:b w:val="0"/>
                <w:i w:val="0"/>
                <w:sz w:val="20"/>
              </w:rPr>
              <w:t>19 (86.4)</w:t>
            </w:r>
          </w:p>
        </w:tc>
        <w:tc>
          <w:tcPr>
            <w:tcW w:type="dxa" w:w="2351"/>
            <w:vAlign w:val="center"/>
          </w:tcPr>
          <w:p>
            <w:pPr>
              <w:spacing w:before="0" w:after="0" w:line="264" w:lineRule="auto"/>
            </w:pPr>
            <w:r/>
            <w:r>
              <w:rPr>
                <w:rFonts w:ascii="Times New Roman" w:hAnsi="Times New Roman"/>
                <w:b w:val="0"/>
                <w:i w:val="0"/>
                <w:sz w:val="20"/>
              </w:rPr>
              <w:t>22 (100.0)</w:t>
            </w:r>
          </w:p>
        </w:tc>
        <w:tc>
          <w:tcPr>
            <w:tcW w:type="dxa" w:w="2351"/>
            <w:vAlign w:val="center"/>
          </w:tcPr>
          <w:p>
            <w:pPr>
              <w:spacing w:before="0" w:after="0" w:line="264" w:lineRule="auto"/>
            </w:pPr>
            <w:r/>
            <w:r>
              <w:rPr>
                <w:rFonts w:ascii="Times New Roman" w:hAnsi="Times New Roman"/>
                <w:b w:val="0"/>
                <w:i w:val="0"/>
                <w:sz w:val="20"/>
              </w:rPr>
              <w:t>.232</w:t>
            </w:r>
          </w:p>
        </w:tc>
      </w:tr>
      <w:tr>
        <w:tc>
          <w:tcPr>
            <w:tcW w:type="dxa" w:w="2351"/>
            <w:vAlign w:val="center"/>
          </w:tcPr>
          <w:p>
            <w:pPr>
              <w:spacing w:before="0" w:after="0" w:line="264" w:lineRule="auto"/>
            </w:pPr>
            <w:r/>
            <w:r>
              <w:rPr>
                <w:rFonts w:ascii="Times New Roman" w:hAnsi="Times New Roman"/>
                <w:b w:val="0"/>
                <w:i w:val="0"/>
                <w:sz w:val="20"/>
              </w:rPr>
              <w:t>Baseline log</w:t>
            </w:r>
            <w:r>
              <w:rPr>
                <w:rFonts w:ascii="Times New Roman" w:hAnsi="Times New Roman"/>
                <w:b w:val="0"/>
                <w:i w:val="0"/>
                <w:sz w:val="20"/>
                <w:vertAlign w:val="subscript"/>
              </w:rPr>
              <w:t>10</w:t>
            </w:r>
            <w:r>
              <w:rPr>
                <w:rFonts w:ascii="Times New Roman" w:hAnsi="Times New Roman"/>
                <w:b w:val="0"/>
                <w:i w:val="0"/>
                <w:sz w:val="20"/>
              </w:rPr>
              <w:t xml:space="preserve"> hEG, median (IQR)</w:t>
            </w:r>
          </w:p>
        </w:tc>
        <w:tc>
          <w:tcPr>
            <w:tcW w:type="dxa" w:w="2351"/>
            <w:vAlign w:val="center"/>
          </w:tcPr>
          <w:p>
            <w:pPr>
              <w:spacing w:before="0" w:after="0" w:line="264" w:lineRule="auto"/>
            </w:pPr>
            <w:r/>
            <w:r>
              <w:rPr>
                <w:rFonts w:ascii="Times New Roman" w:hAnsi="Times New Roman"/>
                <w:b w:val="0"/>
                <w:i w:val="0"/>
                <w:sz w:val="20"/>
              </w:rPr>
              <w:t>0.40 (0.13-0.55)</w:t>
            </w:r>
          </w:p>
        </w:tc>
        <w:tc>
          <w:tcPr>
            <w:tcW w:type="dxa" w:w="2351"/>
            <w:vAlign w:val="center"/>
          </w:tcPr>
          <w:p>
            <w:pPr>
              <w:spacing w:before="0" w:after="0" w:line="264" w:lineRule="auto"/>
            </w:pPr>
            <w:r/>
            <w:r>
              <w:rPr>
                <w:rFonts w:ascii="Times New Roman" w:hAnsi="Times New Roman"/>
                <w:b w:val="0"/>
                <w:i w:val="0"/>
                <w:sz w:val="20"/>
              </w:rPr>
              <w:t>0.47 (0.29-0.59)</w:t>
            </w:r>
          </w:p>
        </w:tc>
        <w:tc>
          <w:tcPr>
            <w:tcW w:type="dxa" w:w="2351"/>
            <w:vAlign w:val="center"/>
          </w:tcPr>
          <w:p>
            <w:pPr>
              <w:spacing w:before="0" w:after="0" w:line="264" w:lineRule="auto"/>
            </w:pPr>
            <w:r/>
            <w:r>
              <w:rPr>
                <w:rFonts w:ascii="Times New Roman" w:hAnsi="Times New Roman"/>
                <w:b w:val="0"/>
                <w:i w:val="0"/>
                <w:sz w:val="20"/>
              </w:rPr>
              <w:t>.231</w:t>
            </w:r>
          </w:p>
        </w:tc>
      </w:tr>
      <w:tr>
        <w:tc>
          <w:tcPr>
            <w:tcW w:type="dxa" w:w="2351"/>
            <w:vAlign w:val="center"/>
          </w:tcPr>
          <w:p>
            <w:pPr>
              <w:spacing w:before="0" w:after="0" w:line="264" w:lineRule="auto"/>
            </w:pPr>
            <w:r/>
            <w:r>
              <w:rPr>
                <w:rFonts w:ascii="Times New Roman" w:hAnsi="Times New Roman"/>
                <w:b w:val="0"/>
                <w:i w:val="0"/>
                <w:sz w:val="20"/>
              </w:rPr>
              <w:t>Baseline Deauville score, median (IQR)</w:t>
            </w:r>
          </w:p>
        </w:tc>
        <w:tc>
          <w:tcPr>
            <w:tcW w:type="dxa" w:w="2351"/>
            <w:vAlign w:val="center"/>
          </w:tcPr>
          <w:p>
            <w:pPr>
              <w:spacing w:before="0" w:after="0" w:line="264" w:lineRule="auto"/>
            </w:pPr>
            <w:r/>
            <w:r>
              <w:rPr>
                <w:rFonts w:ascii="Times New Roman" w:hAnsi="Times New Roman"/>
                <w:b w:val="0"/>
                <w:i w:val="0"/>
                <w:sz w:val="20"/>
              </w:rPr>
              <w:t>5 (5-5)</w:t>
            </w:r>
          </w:p>
        </w:tc>
        <w:tc>
          <w:tcPr>
            <w:tcW w:type="dxa" w:w="2351"/>
            <w:vAlign w:val="center"/>
          </w:tcPr>
          <w:p>
            <w:pPr>
              <w:spacing w:before="0" w:after="0" w:line="264" w:lineRule="auto"/>
            </w:pPr>
            <w:r/>
            <w:r>
              <w:rPr>
                <w:rFonts w:ascii="Times New Roman" w:hAnsi="Times New Roman"/>
                <w:b w:val="0"/>
                <w:i w:val="0"/>
                <w:sz w:val="20"/>
              </w:rPr>
              <w:t>5 (5-5)</w:t>
            </w:r>
          </w:p>
        </w:tc>
        <w:tc>
          <w:tcPr>
            <w:tcW w:type="dxa" w:w="2351"/>
            <w:vAlign w:val="center"/>
          </w:tcPr>
          <w:p>
            <w:pPr>
              <w:spacing w:before="0" w:after="0" w:line="264" w:lineRule="auto"/>
            </w:pPr>
            <w:r/>
            <w:r>
              <w:rPr>
                <w:rFonts w:ascii="Times New Roman" w:hAnsi="Times New Roman"/>
                <w:b w:val="0"/>
                <w:i w:val="0"/>
                <w:sz w:val="20"/>
              </w:rPr>
              <w:t>1.000</w:t>
            </w:r>
          </w:p>
        </w:tc>
      </w:tr>
    </w:tbl>
    <w:p>
      <w:pPr>
        <w:spacing w:after="120"/>
      </w:pPr>
    </w:p>
    <w:p>
      <w:pPr>
        <w:spacing w:before="0" w:after="120" w:line="480" w:lineRule="auto"/>
        <w:jc w:val="both"/>
      </w:pPr>
      <w:r>
        <w:rPr>
          <w:rFonts w:ascii="Times New Roman" w:hAnsi="Times New Roman"/>
          <w:i/>
          <w:sz w:val="24"/>
        </w:rPr>
        <w:t>P</w:t>
      </w:r>
      <w:r>
        <w:rPr>
          <w:rFonts w:ascii="Times New Roman" w:hAnsi="Times New Roman"/>
          <w:b w:val="0"/>
          <w:i w:val="0"/>
          <w:sz w:val="24"/>
        </w:rPr>
        <w:t xml:space="preserve"> values from Wilcoxon or Fisher exact. Boldface, </w:t>
      </w:r>
      <w:r>
        <w:rPr>
          <w:rFonts w:ascii="Times New Roman" w:hAnsi="Times New Roman"/>
          <w:i/>
          <w:sz w:val="24"/>
        </w:rPr>
        <w:t>P</w:t>
      </w:r>
      <w:r>
        <w:rPr>
          <w:rFonts w:ascii="Times New Roman" w:hAnsi="Times New Roman"/>
          <w:b w:val="0"/>
          <w:i w:val="0"/>
          <w:sz w:val="24"/>
        </w:rPr>
        <w:t xml:space="preserve"> &lt; .05. </w:t>
      </w:r>
      <w:r>
        <w:rPr>
          <w:rFonts w:ascii="Times New Roman" w:hAnsi="Times New Roman"/>
          <w:b w:val="0"/>
          <w:i w:val="0"/>
          <w:sz w:val="24"/>
          <w:vertAlign w:val="superscript"/>
        </w:rPr>
        <w:t>*</w:t>
      </w:r>
      <w:r>
        <w:rPr>
          <w:rFonts w:ascii="Times New Roman" w:hAnsi="Times New Roman"/>
          <w:b w:val="0"/>
          <w:i w:val="0"/>
          <w:sz w:val="24"/>
        </w:rPr>
        <w:t xml:space="preserve">"MRD-positive at baseline" denotes detection of ≥1 lymphoma-specific variant in the CAPP-Seq panel at baseline plasma (≥0.005 VAF, duplex UMI error correction); this is the same operational definition as "detectable baseline ctDNA" used in the Results section. The two denominators differ only by the analytic subset: </w:t>
      </w:r>
      <w:r>
        <w:rPr>
          <w:rFonts w:ascii="Times New Roman" w:hAnsi="Times New Roman"/>
          <w:b/>
          <w:sz w:val="24"/>
        </w:rPr>
        <w:t>Table 1</w:t>
      </w:r>
      <w:r>
        <w:rPr>
          <w:rFonts w:ascii="Times New Roman" w:hAnsi="Times New Roman"/>
          <w:b w:val="0"/>
          <w:i w:val="0"/>
          <w:sz w:val="24"/>
        </w:rPr>
        <w:t xml:space="preserve"> restricts to the 44 classifiable patients of whom 41 had a baseline plasma sample meeting QC (3 patients had insufficient DNA input or coverage &lt;2,000× and were excluded from the baseline-VAF analysis) — 38/41 = 92.7%. The </w:t>
      </w:r>
      <w:r>
        <w:rPr>
          <w:rFonts w:ascii="Times New Roman" w:hAnsi="Times New Roman"/>
          <w:b/>
          <w:sz w:val="24"/>
        </w:rPr>
        <w:t>Results section</w:t>
      </w:r>
      <w:r>
        <w:rPr>
          <w:rFonts w:ascii="Times New Roman" w:hAnsi="Times New Roman"/>
          <w:b w:val="0"/>
          <w:i w:val="0"/>
          <w:sz w:val="24"/>
        </w:rPr>
        <w:t xml:space="preserve"> reports the same metric on the 57-patient training set (of whom 54 had QC-passing baseline samples) — 50/54 = 92.6%. Effective sample sizes are reconciled in supplemental Table S15.</w:t>
      </w:r>
    </w:p>
    <w:p>
      <w:pPr>
        <w:spacing w:after="120" w:line="240" w:lineRule="auto"/>
      </w:pPr>
    </w:p>
    <w:p>
      <w:pPr>
        <w:keepNext/>
        <w:spacing w:before="200" w:after="120" w:line="288" w:lineRule="auto"/>
      </w:pPr>
      <w:r>
        <w:rPr>
          <w:rFonts w:ascii="Times New Roman" w:hAnsi="Times New Roman"/>
          <w:b/>
          <w:i/>
          <w:sz w:val="26"/>
        </w:rPr>
        <w:t>Table 2. Performance metrics of day-14 classifiers in the ALYCANTE training cohort and in the Henri-Mondor real-world validation cohort</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E7E6E6"/>
          </w:tcPr>
          <w:p>
            <w:pPr>
              <w:spacing w:before="0" w:after="0" w:line="264" w:lineRule="auto"/>
            </w:pPr>
            <w:r/>
            <w:r>
              <w:rPr>
                <w:rFonts w:ascii="Times New Roman" w:hAnsi="Times New Roman"/>
                <w:b/>
                <w:i w:val="0"/>
                <w:sz w:val="20"/>
              </w:rPr>
              <w:t>Classifier</w:t>
            </w:r>
          </w:p>
        </w:tc>
        <w:tc>
          <w:tcPr>
            <w:tcW w:type="dxa" w:w="1344"/>
            <w:vAlign w:val="center"/>
            <w:shd w:val="clear" w:color="auto" w:fill="E7E6E6"/>
          </w:tcPr>
          <w:p>
            <w:pPr>
              <w:spacing w:before="0" w:after="0" w:line="264" w:lineRule="auto"/>
            </w:pPr>
            <w:r/>
            <w:r>
              <w:rPr>
                <w:rFonts w:ascii="Times New Roman" w:hAnsi="Times New Roman"/>
                <w:b/>
                <w:i w:val="0"/>
                <w:sz w:val="20"/>
              </w:rPr>
              <w:t>Cohort</w:t>
            </w:r>
          </w:p>
        </w:tc>
        <w:tc>
          <w:tcPr>
            <w:tcW w:type="dxa" w:w="1344"/>
            <w:vAlign w:val="center"/>
            <w:shd w:val="clear" w:color="auto" w:fill="E7E6E6"/>
          </w:tcPr>
          <w:p>
            <w:pPr>
              <w:spacing w:before="0" w:after="0" w:line="264" w:lineRule="auto"/>
            </w:pPr>
            <w:r/>
            <w:r>
              <w:rPr>
                <w:rFonts w:ascii="Times New Roman" w:hAnsi="Times New Roman"/>
                <w:b/>
                <w:i w:val="0"/>
                <w:sz w:val="20"/>
              </w:rPr>
              <w:t>n</w:t>
            </w:r>
          </w:p>
        </w:tc>
        <w:tc>
          <w:tcPr>
            <w:tcW w:type="dxa" w:w="1344"/>
            <w:vAlign w:val="center"/>
            <w:shd w:val="clear" w:color="auto" w:fill="E7E6E6"/>
          </w:tcPr>
          <w:p>
            <w:pPr>
              <w:spacing w:before="0" w:after="0" w:line="264" w:lineRule="auto"/>
            </w:pPr>
            <w:r/>
            <w:r>
              <w:rPr>
                <w:rFonts w:ascii="Times New Roman" w:hAnsi="Times New Roman"/>
                <w:b/>
                <w:i w:val="0"/>
                <w:sz w:val="20"/>
              </w:rPr>
              <w:t>Endpoint</w:t>
            </w:r>
          </w:p>
        </w:tc>
        <w:tc>
          <w:tcPr>
            <w:tcW w:type="dxa" w:w="1344"/>
            <w:vAlign w:val="center"/>
            <w:shd w:val="clear" w:color="auto" w:fill="E7E6E6"/>
          </w:tcPr>
          <w:p>
            <w:pPr>
              <w:spacing w:before="0" w:after="0" w:line="264" w:lineRule="auto"/>
            </w:pPr>
            <w:r/>
            <w:r>
              <w:rPr>
                <w:rFonts w:ascii="Times New Roman" w:hAnsi="Times New Roman"/>
                <w:b/>
                <w:i w:val="0"/>
                <w:sz w:val="20"/>
              </w:rPr>
              <w:t>HR (95% CI)</w:t>
            </w:r>
          </w:p>
        </w:tc>
        <w:tc>
          <w:tcPr>
            <w:tcW w:type="dxa" w:w="1344"/>
            <w:vAlign w:val="center"/>
            <w:shd w:val="clear" w:color="auto" w:fill="E7E6E6"/>
          </w:tcPr>
          <w:p>
            <w:pPr>
              <w:spacing w:before="0" w:after="0" w:line="264" w:lineRule="auto"/>
            </w:pPr>
            <w:r/>
            <w:r>
              <w:rPr>
                <w:rFonts w:ascii="Times New Roman" w:hAnsi="Times New Roman"/>
                <w:b/>
                <w:i w:val="0"/>
                <w:sz w:val="20"/>
              </w:rPr>
              <w:t xml:space="preserve">Log-rank </w:t>
            </w:r>
            <w:r>
              <w:rPr>
                <w:rFonts w:ascii="Times New Roman" w:hAnsi="Times New Roman"/>
                <w:b/>
                <w:i/>
                <w:sz w:val="20"/>
              </w:rPr>
              <w:t>P</w:t>
            </w:r>
          </w:p>
        </w:tc>
        <w:tc>
          <w:tcPr>
            <w:tcW w:type="dxa" w:w="1344"/>
            <w:vAlign w:val="center"/>
            <w:shd w:val="clear" w:color="auto" w:fill="E7E6E6"/>
          </w:tcPr>
          <w:p>
            <w:pPr>
              <w:spacing w:before="0" w:after="0" w:line="264" w:lineRule="auto"/>
            </w:pPr>
            <w:r/>
            <w:r>
              <w:rPr>
                <w:rFonts w:ascii="Times New Roman" w:hAnsi="Times New Roman"/>
                <w:b/>
                <w:i w:val="0"/>
                <w:sz w:val="20"/>
              </w:rPr>
              <w:t>C-index [95% CI]</w:t>
            </w:r>
            <w:r>
              <w:rPr>
                <w:rFonts w:ascii="Times New Roman" w:hAnsi="Times New Roman"/>
                <w:b/>
                <w:i w:val="0"/>
                <w:sz w:val="20"/>
                <w:vertAlign w:val="superscript"/>
              </w:rPr>
              <w:t>a</w:t>
            </w:r>
          </w:p>
        </w:tc>
      </w:tr>
      <w:tr>
        <w:tc>
          <w:tcPr>
            <w:tcW w:type="dxa" w:w="1344"/>
            <w:vAlign w:val="center"/>
          </w:tcPr>
          <w:p>
            <w:pPr>
              <w:spacing w:before="0" w:after="0" w:line="264" w:lineRule="auto"/>
            </w:pPr>
            <w:r/>
            <w:r>
              <w:rPr>
                <w:rFonts w:ascii="Times New Roman" w:hAnsi="Times New Roman"/>
                <w:b/>
                <w:sz w:val="20"/>
              </w:rPr>
              <w:t>JLCM-ctDNA, day 14</w:t>
            </w:r>
          </w:p>
        </w:tc>
        <w:tc>
          <w:tcPr>
            <w:tcW w:type="dxa" w:w="1344"/>
            <w:vAlign w:val="center"/>
          </w:tcPr>
          <w:p>
            <w:pPr>
              <w:spacing w:before="0" w:after="0" w:line="264" w:lineRule="auto"/>
            </w:pPr>
            <w:r/>
            <w:r>
              <w:rPr>
                <w:rFonts w:ascii="Times New Roman" w:hAnsi="Times New Roman"/>
                <w:b w:val="0"/>
                <w:i w:val="0"/>
                <w:sz w:val="20"/>
              </w:rPr>
              <w:t>ALYCANTE</w:t>
            </w:r>
          </w:p>
        </w:tc>
        <w:tc>
          <w:tcPr>
            <w:tcW w:type="dxa" w:w="1344"/>
            <w:vAlign w:val="center"/>
          </w:tcPr>
          <w:p>
            <w:pPr>
              <w:spacing w:before="0" w:after="0" w:line="264" w:lineRule="auto"/>
            </w:pPr>
            <w:r/>
            <w:r>
              <w:rPr>
                <w:rFonts w:ascii="Times New Roman" w:hAnsi="Times New Roman"/>
                <w:b w:val="0"/>
                <w:i w:val="0"/>
                <w:sz w:val="20"/>
              </w:rPr>
              <w:t>44</w:t>
            </w:r>
          </w:p>
        </w:tc>
        <w:tc>
          <w:tcPr>
            <w:tcW w:type="dxa" w:w="1344"/>
            <w:vAlign w:val="center"/>
          </w:tcPr>
          <w:p>
            <w:pPr>
              <w:spacing w:before="0" w:after="0" w:line="264" w:lineRule="auto"/>
            </w:pPr>
            <w:r/>
            <w:r>
              <w:rPr>
                <w:rFonts w:ascii="Times New Roman" w:hAnsi="Times New Roman"/>
                <w:b w:val="0"/>
                <w:i w:val="0"/>
                <w:sz w:val="20"/>
              </w:rPr>
              <w:t>EFS (lymphoma)</w:t>
            </w:r>
          </w:p>
        </w:tc>
        <w:tc>
          <w:tcPr>
            <w:tcW w:type="dxa" w:w="1344"/>
            <w:vAlign w:val="center"/>
          </w:tcPr>
          <w:p>
            <w:pPr>
              <w:spacing w:before="0" w:after="0" w:line="264" w:lineRule="auto"/>
            </w:pPr>
            <w:r/>
            <w:r>
              <w:rPr>
                <w:rFonts w:ascii="Times New Roman" w:hAnsi="Times New Roman"/>
                <w:b w:val="0"/>
                <w:i w:val="0"/>
                <w:sz w:val="20"/>
              </w:rPr>
              <w:t>15.1 (5.1-44.3)</w:t>
            </w:r>
            <w:r>
              <w:rPr>
                <w:rFonts w:ascii="Times New Roman" w:hAnsi="Times New Roman"/>
                <w:b w:val="0"/>
                <w:i w:val="0"/>
                <w:sz w:val="20"/>
                <w:vertAlign w:val="superscript"/>
              </w:rPr>
              <w:t>b</w:t>
            </w:r>
          </w:p>
        </w:tc>
        <w:tc>
          <w:tcPr>
            <w:tcW w:type="dxa" w:w="1344"/>
            <w:vAlign w:val="center"/>
          </w:tcPr>
          <w:p>
            <w:pPr>
              <w:spacing w:before="0" w:after="0" w:line="264" w:lineRule="auto"/>
            </w:pPr>
            <w:r/>
            <w:r>
              <w:rPr>
                <w:rFonts w:ascii="Times New Roman" w:hAnsi="Times New Roman"/>
                <w:b w:val="0"/>
                <w:i w:val="0"/>
                <w:sz w:val="20"/>
              </w:rPr>
              <w:t>&lt;.001</w:t>
            </w:r>
          </w:p>
        </w:tc>
        <w:tc>
          <w:tcPr>
            <w:tcW w:type="dxa" w:w="1344"/>
            <w:vAlign w:val="center"/>
          </w:tcPr>
          <w:p>
            <w:pPr>
              <w:spacing w:before="0" w:after="0" w:line="264" w:lineRule="auto"/>
            </w:pPr>
            <w:r/>
            <w:r>
              <w:rPr>
                <w:rFonts w:ascii="Times New Roman" w:hAnsi="Times New Roman"/>
                <w:b/>
                <w:sz w:val="20"/>
              </w:rPr>
              <w:t>0.81 [0.76-0.86]</w:t>
            </w:r>
            <w:r>
              <w:rPr>
                <w:rFonts w:ascii="Times New Roman" w:hAnsi="Times New Roman"/>
                <w:b w:val="0"/>
                <w:i w:val="0"/>
                <w:sz w:val="20"/>
                <w:vertAlign w:val="superscript"/>
              </w:rPr>
              <w:t>c</w:t>
            </w:r>
          </w:p>
        </w:tc>
      </w:tr>
      <w:tr>
        <w:tc>
          <w:tcPr>
            <w:tcW w:type="dxa" w:w="1344"/>
            <w:vAlign w:val="center"/>
          </w:tcPr>
          <w:p>
            <w:pPr>
              <w:spacing w:before="0" w:after="0" w:line="264" w:lineRule="auto"/>
            </w:pPr>
            <w:r/>
            <w:r>
              <w:rPr>
                <w:rFonts w:ascii="Times New Roman" w:hAnsi="Times New Roman"/>
                <w:b/>
                <w:sz w:val="20"/>
              </w:rPr>
              <w:t>JLCM-ctDNA, day 14</w:t>
            </w:r>
          </w:p>
        </w:tc>
        <w:tc>
          <w:tcPr>
            <w:tcW w:type="dxa" w:w="1344"/>
            <w:vAlign w:val="center"/>
          </w:tcPr>
          <w:p>
            <w:pPr>
              <w:spacing w:before="0" w:after="0" w:line="264" w:lineRule="auto"/>
            </w:pPr>
            <w:r/>
            <w:r>
              <w:rPr>
                <w:rFonts w:ascii="Times New Roman" w:hAnsi="Times New Roman"/>
                <w:b w:val="0"/>
                <w:i w:val="0"/>
                <w:sz w:val="20"/>
              </w:rPr>
              <w:t>ALYCANTE</w:t>
            </w:r>
          </w:p>
        </w:tc>
        <w:tc>
          <w:tcPr>
            <w:tcW w:type="dxa" w:w="1344"/>
            <w:vAlign w:val="center"/>
          </w:tcPr>
          <w:p>
            <w:pPr>
              <w:spacing w:before="0" w:after="0" w:line="264" w:lineRule="auto"/>
            </w:pPr>
            <w:r/>
            <w:r>
              <w:rPr>
                <w:rFonts w:ascii="Times New Roman" w:hAnsi="Times New Roman"/>
                <w:b w:val="0"/>
                <w:i w:val="0"/>
                <w:sz w:val="20"/>
              </w:rPr>
              <w:t>44</w:t>
            </w:r>
          </w:p>
        </w:tc>
        <w:tc>
          <w:tcPr>
            <w:tcW w:type="dxa" w:w="1344"/>
            <w:vAlign w:val="center"/>
          </w:tcPr>
          <w:p>
            <w:pPr>
              <w:spacing w:before="0" w:after="0" w:line="264" w:lineRule="auto"/>
            </w:pPr>
            <w:r/>
            <w:r>
              <w:rPr>
                <w:rFonts w:ascii="Times New Roman" w:hAnsi="Times New Roman"/>
                <w:b w:val="0"/>
                <w:i w:val="0"/>
                <w:sz w:val="20"/>
              </w:rPr>
              <w:t>OS</w:t>
            </w:r>
          </w:p>
        </w:tc>
        <w:tc>
          <w:tcPr>
            <w:tcW w:type="dxa" w:w="1344"/>
            <w:vAlign w:val="center"/>
          </w:tcPr>
          <w:p>
            <w:pPr>
              <w:spacing w:before="0" w:after="0" w:line="264" w:lineRule="auto"/>
            </w:pPr>
            <w:r/>
            <w:r>
              <w:rPr>
                <w:rFonts w:ascii="Times New Roman" w:hAnsi="Times New Roman"/>
                <w:b w:val="0"/>
                <w:i w:val="0"/>
                <w:sz w:val="20"/>
              </w:rPr>
              <w:t>8.4 (3.1-22.8)</w:t>
            </w:r>
            <w:r>
              <w:rPr>
                <w:rFonts w:ascii="Times New Roman" w:hAnsi="Times New Roman"/>
                <w:b w:val="0"/>
                <w:i w:val="0"/>
                <w:sz w:val="20"/>
                <w:vertAlign w:val="superscript"/>
              </w:rPr>
              <w:t>b</w:t>
            </w:r>
          </w:p>
        </w:tc>
        <w:tc>
          <w:tcPr>
            <w:tcW w:type="dxa" w:w="1344"/>
            <w:vAlign w:val="center"/>
          </w:tcPr>
          <w:p>
            <w:pPr>
              <w:spacing w:before="0" w:after="0" w:line="264" w:lineRule="auto"/>
            </w:pPr>
            <w:r/>
            <w:r>
              <w:rPr>
                <w:rFonts w:ascii="Times New Roman" w:hAnsi="Times New Roman"/>
                <w:b w:val="0"/>
                <w:i w:val="0"/>
                <w:sz w:val="20"/>
              </w:rPr>
              <w:t>&lt;.001</w:t>
            </w:r>
          </w:p>
        </w:tc>
        <w:tc>
          <w:tcPr>
            <w:tcW w:type="dxa" w:w="1344"/>
            <w:vAlign w:val="center"/>
          </w:tcPr>
          <w:p>
            <w:pPr>
              <w:spacing w:before="0" w:after="0" w:line="264" w:lineRule="auto"/>
            </w:pPr>
            <w:r/>
            <w:r>
              <w:rPr>
                <w:rFonts w:ascii="Times New Roman" w:hAnsi="Times New Roman"/>
                <w:b/>
                <w:sz w:val="20"/>
              </w:rPr>
              <w:t>0.79 [0.71-0.87]</w:t>
            </w:r>
            <w:r>
              <w:rPr>
                <w:rFonts w:ascii="Times New Roman" w:hAnsi="Times New Roman"/>
                <w:b w:val="0"/>
                <w:i w:val="0"/>
                <w:sz w:val="20"/>
                <w:vertAlign w:val="superscript"/>
              </w:rPr>
              <w:t>c</w:t>
            </w:r>
          </w:p>
        </w:tc>
      </w:tr>
      <w:tr>
        <w:tc>
          <w:tcPr>
            <w:tcW w:type="dxa" w:w="1344"/>
            <w:vAlign w:val="center"/>
          </w:tcPr>
          <w:p>
            <w:pPr>
              <w:spacing w:before="0" w:after="0" w:line="264" w:lineRule="auto"/>
            </w:pPr>
            <w:r/>
            <w:r>
              <w:rPr>
                <w:rFonts w:ascii="Times New Roman" w:hAnsi="Times New Roman"/>
                <w:b w:val="0"/>
                <w:i w:val="0"/>
                <w:sz w:val="20"/>
              </w:rPr>
              <w:t>Day-14 log</w:t>
            </w:r>
            <w:r>
              <w:rPr>
                <w:rFonts w:ascii="Times New Roman" w:hAnsi="Times New Roman"/>
                <w:b w:val="0"/>
                <w:i w:val="0"/>
                <w:sz w:val="20"/>
                <w:vertAlign w:val="subscript"/>
              </w:rPr>
              <w:t>10</w:t>
            </w:r>
            <w:r>
              <w:rPr>
                <w:rFonts w:ascii="Times New Roman" w:hAnsi="Times New Roman"/>
                <w:b w:val="0"/>
                <w:i w:val="0"/>
                <w:sz w:val="20"/>
              </w:rPr>
              <w:t xml:space="preserve"> hEG (continuous)</w:t>
            </w:r>
          </w:p>
        </w:tc>
        <w:tc>
          <w:tcPr>
            <w:tcW w:type="dxa" w:w="1344"/>
            <w:vAlign w:val="center"/>
          </w:tcPr>
          <w:p>
            <w:pPr>
              <w:spacing w:before="0" w:after="0" w:line="264" w:lineRule="auto"/>
            </w:pPr>
            <w:r/>
            <w:r>
              <w:rPr>
                <w:rFonts w:ascii="Times New Roman" w:hAnsi="Times New Roman"/>
                <w:b w:val="0"/>
                <w:i w:val="0"/>
                <w:sz w:val="20"/>
              </w:rPr>
              <w:t>ALYCANTE</w:t>
            </w:r>
          </w:p>
        </w:tc>
        <w:tc>
          <w:tcPr>
            <w:tcW w:type="dxa" w:w="1344"/>
            <w:vAlign w:val="center"/>
          </w:tcPr>
          <w:p>
            <w:pPr>
              <w:spacing w:before="0" w:after="0" w:line="264" w:lineRule="auto"/>
            </w:pPr>
            <w:r/>
            <w:r>
              <w:rPr>
                <w:rFonts w:ascii="Times New Roman" w:hAnsi="Times New Roman"/>
                <w:b w:val="0"/>
                <w:i w:val="0"/>
                <w:sz w:val="20"/>
              </w:rPr>
              <w:t>44</w:t>
            </w:r>
          </w:p>
        </w:tc>
        <w:tc>
          <w:tcPr>
            <w:tcW w:type="dxa" w:w="1344"/>
            <w:vAlign w:val="center"/>
          </w:tcPr>
          <w:p>
            <w:pPr>
              <w:spacing w:before="0" w:after="0" w:line="264" w:lineRule="auto"/>
            </w:pPr>
            <w:r/>
            <w:r>
              <w:rPr>
                <w:rFonts w:ascii="Times New Roman" w:hAnsi="Times New Roman"/>
                <w:b w:val="0"/>
                <w:i w:val="0"/>
                <w:sz w:val="20"/>
              </w:rPr>
              <w:t>EFS</w:t>
            </w:r>
          </w:p>
        </w:tc>
        <w:tc>
          <w:tcPr>
            <w:tcW w:type="dxa" w:w="1344"/>
            <w:vAlign w:val="center"/>
          </w:tcPr>
          <w:p>
            <w:pPr>
              <w:spacing w:before="0" w:after="0" w:line="264" w:lineRule="auto"/>
            </w:pPr>
            <w:r/>
            <w:r>
              <w:rPr>
                <w:rFonts w:ascii="Times New Roman" w:hAnsi="Times New Roman"/>
                <w:b w:val="0"/>
                <w:i w:val="0"/>
                <w:sz w:val="20"/>
              </w:rPr>
              <w:t>1.12 (0.97-1.29) per log</w:t>
            </w:r>
            <w:r>
              <w:rPr>
                <w:rFonts w:ascii="Times New Roman" w:hAnsi="Times New Roman"/>
                <w:b w:val="0"/>
                <w:i w:val="0"/>
                <w:sz w:val="20"/>
                <w:vertAlign w:val="subscript"/>
              </w:rPr>
              <w:t>10</w:t>
            </w:r>
          </w:p>
        </w:tc>
        <w:tc>
          <w:tcPr>
            <w:tcW w:type="dxa" w:w="1344"/>
            <w:vAlign w:val="center"/>
          </w:tcPr>
          <w:p>
            <w:pPr>
              <w:spacing w:before="0" w:after="0" w:line="264" w:lineRule="auto"/>
            </w:pPr>
            <w:r/>
            <w:r>
              <w:rPr>
                <w:rFonts w:ascii="Times New Roman" w:hAnsi="Times New Roman"/>
                <w:b w:val="0"/>
                <w:i w:val="0"/>
                <w:sz w:val="20"/>
              </w:rPr>
              <w:t>.123</w:t>
            </w:r>
          </w:p>
        </w:tc>
        <w:tc>
          <w:tcPr>
            <w:tcW w:type="dxa" w:w="1344"/>
            <w:vAlign w:val="center"/>
          </w:tcPr>
          <w:p>
            <w:pPr>
              <w:spacing w:before="0" w:after="0" w:line="264" w:lineRule="auto"/>
            </w:pPr>
            <w:r/>
            <w:r>
              <w:rPr>
                <w:rFonts w:ascii="Times New Roman" w:hAnsi="Times New Roman"/>
                <w:b w:val="0"/>
                <w:i w:val="0"/>
                <w:sz w:val="20"/>
              </w:rPr>
              <w:t>0.59</w:t>
            </w:r>
          </w:p>
        </w:tc>
      </w:tr>
      <w:tr>
        <w:tc>
          <w:tcPr>
            <w:tcW w:type="dxa" w:w="1344"/>
            <w:vAlign w:val="center"/>
          </w:tcPr>
          <w:p>
            <w:pPr>
              <w:spacing w:before="0" w:after="0" w:line="264" w:lineRule="auto"/>
            </w:pPr>
            <w:r/>
            <w:r>
              <w:rPr>
                <w:rFonts w:ascii="Times New Roman" w:hAnsi="Times New Roman"/>
                <w:b w:val="0"/>
                <w:i w:val="0"/>
                <w:sz w:val="20"/>
              </w:rPr>
              <w:t>Δlog</w:t>
            </w:r>
            <w:r>
              <w:rPr>
                <w:rFonts w:ascii="Times New Roman" w:hAnsi="Times New Roman"/>
                <w:b w:val="0"/>
                <w:i w:val="0"/>
                <w:sz w:val="20"/>
                <w:vertAlign w:val="subscript"/>
              </w:rPr>
              <w:t>10</w:t>
            </w:r>
            <w:r>
              <w:rPr>
                <w:rFonts w:ascii="Times New Roman" w:hAnsi="Times New Roman"/>
                <w:b w:val="0"/>
                <w:i w:val="0"/>
                <w:sz w:val="20"/>
              </w:rPr>
              <w:t xml:space="preserve"> baseline→D14 (continuous)</w:t>
            </w:r>
          </w:p>
        </w:tc>
        <w:tc>
          <w:tcPr>
            <w:tcW w:type="dxa" w:w="1344"/>
            <w:vAlign w:val="center"/>
          </w:tcPr>
          <w:p>
            <w:pPr>
              <w:spacing w:before="0" w:after="0" w:line="264" w:lineRule="auto"/>
            </w:pPr>
            <w:r/>
            <w:r>
              <w:rPr>
                <w:rFonts w:ascii="Times New Roman" w:hAnsi="Times New Roman"/>
                <w:b w:val="0"/>
                <w:i w:val="0"/>
                <w:sz w:val="20"/>
              </w:rPr>
              <w:t>ALYCANTE</w:t>
            </w:r>
          </w:p>
        </w:tc>
        <w:tc>
          <w:tcPr>
            <w:tcW w:type="dxa" w:w="1344"/>
            <w:vAlign w:val="center"/>
          </w:tcPr>
          <w:p>
            <w:pPr>
              <w:spacing w:before="0" w:after="0" w:line="264" w:lineRule="auto"/>
            </w:pPr>
            <w:r/>
            <w:r>
              <w:rPr>
                <w:rFonts w:ascii="Times New Roman" w:hAnsi="Times New Roman"/>
                <w:b w:val="0"/>
                <w:i w:val="0"/>
                <w:sz w:val="20"/>
              </w:rPr>
              <w:t>44</w:t>
            </w:r>
          </w:p>
        </w:tc>
        <w:tc>
          <w:tcPr>
            <w:tcW w:type="dxa" w:w="1344"/>
            <w:vAlign w:val="center"/>
          </w:tcPr>
          <w:p>
            <w:pPr>
              <w:spacing w:before="0" w:after="0" w:line="264" w:lineRule="auto"/>
            </w:pPr>
            <w:r/>
            <w:r>
              <w:rPr>
                <w:rFonts w:ascii="Times New Roman" w:hAnsi="Times New Roman"/>
                <w:b w:val="0"/>
                <w:i w:val="0"/>
                <w:sz w:val="20"/>
              </w:rPr>
              <w:t>EFS</w:t>
            </w:r>
          </w:p>
        </w:tc>
        <w:tc>
          <w:tcPr>
            <w:tcW w:type="dxa" w:w="1344"/>
            <w:vAlign w:val="center"/>
          </w:tcPr>
          <w:p>
            <w:pPr>
              <w:spacing w:before="0" w:after="0" w:line="264" w:lineRule="auto"/>
            </w:pPr>
            <w:r/>
            <w:r>
              <w:rPr>
                <w:rFonts w:ascii="Times New Roman" w:hAnsi="Times New Roman"/>
                <w:b w:val="0"/>
                <w:i w:val="0"/>
                <w:sz w:val="20"/>
              </w:rPr>
              <w:t>1.10 (0.97-1.25) per log</w:t>
            </w:r>
            <w:r>
              <w:rPr>
                <w:rFonts w:ascii="Times New Roman" w:hAnsi="Times New Roman"/>
                <w:b w:val="0"/>
                <w:i w:val="0"/>
                <w:sz w:val="20"/>
                <w:vertAlign w:val="subscript"/>
              </w:rPr>
              <w:t>10</w:t>
            </w:r>
          </w:p>
        </w:tc>
        <w:tc>
          <w:tcPr>
            <w:tcW w:type="dxa" w:w="1344"/>
            <w:vAlign w:val="center"/>
          </w:tcPr>
          <w:p>
            <w:pPr>
              <w:spacing w:before="0" w:after="0" w:line="264" w:lineRule="auto"/>
            </w:pPr>
            <w:r/>
            <w:r>
              <w:rPr>
                <w:rFonts w:ascii="Times New Roman" w:hAnsi="Times New Roman"/>
                <w:b w:val="0"/>
                <w:i w:val="0"/>
                <w:sz w:val="20"/>
              </w:rPr>
              <w:t>.145</w:t>
            </w:r>
          </w:p>
        </w:tc>
        <w:tc>
          <w:tcPr>
            <w:tcW w:type="dxa" w:w="1344"/>
            <w:vAlign w:val="center"/>
          </w:tcPr>
          <w:p>
            <w:pPr>
              <w:spacing w:before="0" w:after="0" w:line="264" w:lineRule="auto"/>
            </w:pPr>
            <w:r/>
            <w:r>
              <w:rPr>
                <w:rFonts w:ascii="Times New Roman" w:hAnsi="Times New Roman"/>
                <w:b w:val="0"/>
                <w:i w:val="0"/>
                <w:sz w:val="20"/>
              </w:rPr>
              <w:t>0.62</w:t>
            </w:r>
          </w:p>
        </w:tc>
      </w:tr>
      <w:tr>
        <w:tc>
          <w:tcPr>
            <w:tcW w:type="dxa" w:w="1344"/>
            <w:vAlign w:val="center"/>
          </w:tcPr>
          <w:p>
            <w:pPr>
              <w:spacing w:before="0" w:after="0" w:line="264" w:lineRule="auto"/>
            </w:pPr>
            <w:r/>
            <w:r>
              <w:rPr>
                <w:rFonts w:ascii="Times New Roman" w:hAnsi="Times New Roman"/>
                <w:b w:val="0"/>
                <w:i w:val="0"/>
                <w:sz w:val="20"/>
              </w:rPr>
              <w:t>Detectable ctDNA, day 28 (Frank-style)</w:t>
            </w:r>
            <w:r>
              <w:rPr>
                <w:rFonts w:ascii="Times New Roman" w:hAnsi="Times New Roman"/>
                <w:b w:val="0"/>
                <w:i w:val="0"/>
                <w:sz w:val="20"/>
                <w:vertAlign w:val="superscript"/>
              </w:rPr>
              <w:t>h</w:t>
            </w:r>
          </w:p>
        </w:tc>
        <w:tc>
          <w:tcPr>
            <w:tcW w:type="dxa" w:w="1344"/>
            <w:vAlign w:val="center"/>
          </w:tcPr>
          <w:p>
            <w:pPr>
              <w:spacing w:before="0" w:after="0" w:line="264" w:lineRule="auto"/>
            </w:pPr>
            <w:r/>
            <w:r>
              <w:rPr>
                <w:rFonts w:ascii="Times New Roman" w:hAnsi="Times New Roman"/>
                <w:b w:val="0"/>
                <w:i w:val="0"/>
                <w:sz w:val="20"/>
              </w:rPr>
              <w:t>ALYCANTE</w:t>
            </w:r>
          </w:p>
        </w:tc>
        <w:tc>
          <w:tcPr>
            <w:tcW w:type="dxa" w:w="1344"/>
            <w:vAlign w:val="center"/>
          </w:tcPr>
          <w:p>
            <w:pPr>
              <w:spacing w:before="0" w:after="0" w:line="264" w:lineRule="auto"/>
            </w:pPr>
            <w:r/>
            <w:r>
              <w:rPr>
                <w:rFonts w:ascii="Times New Roman" w:hAnsi="Times New Roman"/>
                <w:b w:val="0"/>
                <w:i w:val="0"/>
                <w:sz w:val="20"/>
              </w:rPr>
              <w:t>42</w:t>
            </w:r>
          </w:p>
        </w:tc>
        <w:tc>
          <w:tcPr>
            <w:tcW w:type="dxa" w:w="1344"/>
            <w:vAlign w:val="center"/>
          </w:tcPr>
          <w:p>
            <w:pPr>
              <w:spacing w:before="0" w:after="0" w:line="264" w:lineRule="auto"/>
            </w:pPr>
            <w:r/>
            <w:r>
              <w:rPr>
                <w:rFonts w:ascii="Times New Roman" w:hAnsi="Times New Roman"/>
                <w:b w:val="0"/>
                <w:i w:val="0"/>
                <w:sz w:val="20"/>
              </w:rPr>
              <w:t>EFS</w:t>
            </w:r>
          </w:p>
        </w:tc>
        <w:tc>
          <w:tcPr>
            <w:tcW w:type="dxa" w:w="1344"/>
            <w:vAlign w:val="center"/>
          </w:tcPr>
          <w:p>
            <w:pPr>
              <w:spacing w:before="0" w:after="0" w:line="264" w:lineRule="auto"/>
            </w:pPr>
            <w:r/>
            <w:r>
              <w:rPr>
                <w:rFonts w:ascii="Times New Roman" w:hAnsi="Times New Roman"/>
                <w:b w:val="0"/>
                <w:i w:val="0"/>
                <w:sz w:val="20"/>
              </w:rPr>
              <w:t>2.73 (1.21-6.14)</w:t>
            </w:r>
          </w:p>
        </w:tc>
        <w:tc>
          <w:tcPr>
            <w:tcW w:type="dxa" w:w="1344"/>
            <w:vAlign w:val="center"/>
          </w:tcPr>
          <w:p>
            <w:pPr>
              <w:spacing w:before="0" w:after="0" w:line="264" w:lineRule="auto"/>
            </w:pPr>
            <w:r/>
            <w:r>
              <w:rPr>
                <w:rFonts w:ascii="Times New Roman" w:hAnsi="Times New Roman"/>
                <w:b w:val="0"/>
                <w:i w:val="0"/>
                <w:sz w:val="20"/>
              </w:rPr>
              <w:t>.015</w:t>
            </w:r>
          </w:p>
        </w:tc>
        <w:tc>
          <w:tcPr>
            <w:tcW w:type="dxa" w:w="1344"/>
            <w:vAlign w:val="center"/>
          </w:tcPr>
          <w:p>
            <w:pPr>
              <w:spacing w:before="0" w:after="0" w:line="264" w:lineRule="auto"/>
            </w:pPr>
            <w:r/>
            <w:r>
              <w:rPr>
                <w:rFonts w:ascii="Times New Roman" w:hAnsi="Times New Roman"/>
                <w:b w:val="0"/>
                <w:i w:val="0"/>
                <w:sz w:val="20"/>
              </w:rPr>
              <w:t>0.64</w:t>
            </w:r>
          </w:p>
        </w:tc>
      </w:tr>
      <w:tr>
        <w:tc>
          <w:tcPr>
            <w:tcW w:type="dxa" w:w="1344"/>
            <w:vAlign w:val="center"/>
          </w:tcPr>
          <w:p>
            <w:pPr>
              <w:spacing w:before="0" w:after="0" w:line="264" w:lineRule="auto"/>
            </w:pPr>
            <w:r/>
            <w:r>
              <w:rPr>
                <w:rFonts w:ascii="Times New Roman" w:hAnsi="Times New Roman"/>
                <w:b w:val="0"/>
                <w:i w:val="0"/>
                <w:sz w:val="20"/>
              </w:rPr>
              <w:t>JLCM-MTV, day 14</w:t>
            </w:r>
            <w:r>
              <w:rPr>
                <w:rFonts w:ascii="Times New Roman" w:hAnsi="Times New Roman"/>
                <w:b w:val="0"/>
                <w:i w:val="0"/>
                <w:sz w:val="20"/>
                <w:vertAlign w:val="superscript"/>
              </w:rPr>
              <w:t>j</w:t>
            </w:r>
          </w:p>
        </w:tc>
        <w:tc>
          <w:tcPr>
            <w:tcW w:type="dxa" w:w="1344"/>
            <w:vAlign w:val="center"/>
          </w:tcPr>
          <w:p>
            <w:pPr>
              <w:spacing w:before="0" w:after="0" w:line="264" w:lineRule="auto"/>
            </w:pPr>
            <w:r/>
            <w:r>
              <w:rPr>
                <w:rFonts w:ascii="Times New Roman" w:hAnsi="Times New Roman"/>
                <w:b w:val="0"/>
                <w:i w:val="0"/>
                <w:sz w:val="20"/>
              </w:rPr>
              <w:t>ALYCANTE</w:t>
            </w:r>
          </w:p>
        </w:tc>
        <w:tc>
          <w:tcPr>
            <w:tcW w:type="dxa" w:w="1344"/>
            <w:vAlign w:val="center"/>
          </w:tcPr>
          <w:p>
            <w:pPr>
              <w:spacing w:before="0" w:after="0" w:line="264" w:lineRule="auto"/>
            </w:pPr>
            <w:r/>
            <w:r>
              <w:rPr>
                <w:rFonts w:ascii="Times New Roman" w:hAnsi="Times New Roman"/>
                <w:b w:val="0"/>
                <w:i w:val="0"/>
                <w:sz w:val="20"/>
              </w:rPr>
              <w:t>57</w:t>
            </w:r>
          </w:p>
        </w:tc>
        <w:tc>
          <w:tcPr>
            <w:tcW w:type="dxa" w:w="1344"/>
            <w:vAlign w:val="center"/>
          </w:tcPr>
          <w:p>
            <w:pPr>
              <w:spacing w:before="0" w:after="0" w:line="264" w:lineRule="auto"/>
            </w:pPr>
            <w:r/>
            <w:r>
              <w:rPr>
                <w:rFonts w:ascii="Times New Roman" w:hAnsi="Times New Roman"/>
                <w:b w:val="0"/>
                <w:i w:val="0"/>
                <w:sz w:val="20"/>
              </w:rPr>
              <w:t>EFS</w:t>
            </w:r>
          </w:p>
        </w:tc>
        <w:tc>
          <w:tcPr>
            <w:tcW w:type="dxa" w:w="1344"/>
            <w:vAlign w:val="center"/>
          </w:tcPr>
          <w:p>
            <w:pPr>
              <w:spacing w:before="0" w:after="0" w:line="264" w:lineRule="auto"/>
            </w:pPr>
            <w:r/>
            <w:r>
              <w:rPr>
                <w:rFonts w:ascii="Times New Roman" w:hAnsi="Times New Roman"/>
                <w:b w:val="0"/>
                <w:i w:val="0"/>
                <w:sz w:val="20"/>
              </w:rPr>
              <w:t>3.9 (1.9-8.0)</w:t>
            </w:r>
          </w:p>
        </w:tc>
        <w:tc>
          <w:tcPr>
            <w:tcW w:type="dxa" w:w="1344"/>
            <w:vAlign w:val="center"/>
          </w:tcPr>
          <w:p>
            <w:pPr>
              <w:spacing w:before="0" w:after="0" w:line="264" w:lineRule="auto"/>
            </w:pPr>
            <w:r/>
            <w:r>
              <w:rPr>
                <w:rFonts w:ascii="Times New Roman" w:hAnsi="Times New Roman"/>
                <w:b w:val="0"/>
                <w:i w:val="0"/>
                <w:sz w:val="20"/>
              </w:rPr>
              <w:t>&lt;.001</w:t>
            </w:r>
          </w:p>
        </w:tc>
        <w:tc>
          <w:tcPr>
            <w:tcW w:type="dxa" w:w="1344"/>
            <w:vAlign w:val="center"/>
          </w:tcPr>
          <w:p>
            <w:pPr>
              <w:spacing w:before="0" w:after="0" w:line="264" w:lineRule="auto"/>
            </w:pPr>
            <w:r/>
            <w:r>
              <w:rPr>
                <w:rFonts w:ascii="Times New Roman" w:hAnsi="Times New Roman"/>
                <w:b w:val="0"/>
                <w:i w:val="0"/>
                <w:sz w:val="20"/>
              </w:rPr>
              <w:t>0.63</w:t>
            </w:r>
          </w:p>
        </w:tc>
      </w:tr>
      <w:tr>
        <w:tc>
          <w:tcPr>
            <w:tcW w:type="dxa" w:w="1344"/>
            <w:vAlign w:val="center"/>
          </w:tcPr>
          <w:p>
            <w:pPr>
              <w:spacing w:before="0" w:after="0" w:line="264" w:lineRule="auto"/>
            </w:pPr>
            <w:r/>
            <w:r>
              <w:rPr>
                <w:rFonts w:ascii="Times New Roman" w:hAnsi="Times New Roman"/>
                <w:b w:val="0"/>
                <w:i w:val="0"/>
                <w:sz w:val="20"/>
              </w:rPr>
              <w:t>JLCM-MTV, day 14</w:t>
            </w:r>
            <w:r>
              <w:rPr>
                <w:rFonts w:ascii="Times New Roman" w:hAnsi="Times New Roman"/>
                <w:b w:val="0"/>
                <w:i w:val="0"/>
                <w:sz w:val="20"/>
                <w:vertAlign w:val="superscript"/>
              </w:rPr>
              <w:t>j</w:t>
            </w:r>
          </w:p>
        </w:tc>
        <w:tc>
          <w:tcPr>
            <w:tcW w:type="dxa" w:w="1344"/>
            <w:vAlign w:val="center"/>
          </w:tcPr>
          <w:p>
            <w:pPr>
              <w:spacing w:before="0" w:after="0" w:line="264" w:lineRule="auto"/>
            </w:pPr>
            <w:r/>
            <w:r>
              <w:rPr>
                <w:rFonts w:ascii="Times New Roman" w:hAnsi="Times New Roman"/>
                <w:b w:val="0"/>
                <w:i w:val="0"/>
                <w:sz w:val="20"/>
              </w:rPr>
              <w:t>ALYCANTE</w:t>
            </w:r>
          </w:p>
        </w:tc>
        <w:tc>
          <w:tcPr>
            <w:tcW w:type="dxa" w:w="1344"/>
            <w:vAlign w:val="center"/>
          </w:tcPr>
          <w:p>
            <w:pPr>
              <w:spacing w:before="0" w:after="0" w:line="264" w:lineRule="auto"/>
            </w:pPr>
            <w:r/>
            <w:r>
              <w:rPr>
                <w:rFonts w:ascii="Times New Roman" w:hAnsi="Times New Roman"/>
                <w:b w:val="0"/>
                <w:i w:val="0"/>
                <w:sz w:val="20"/>
              </w:rPr>
              <w:t>57</w:t>
            </w:r>
          </w:p>
        </w:tc>
        <w:tc>
          <w:tcPr>
            <w:tcW w:type="dxa" w:w="1344"/>
            <w:vAlign w:val="center"/>
          </w:tcPr>
          <w:p>
            <w:pPr>
              <w:spacing w:before="0" w:after="0" w:line="264" w:lineRule="auto"/>
            </w:pPr>
            <w:r/>
            <w:r>
              <w:rPr>
                <w:rFonts w:ascii="Times New Roman" w:hAnsi="Times New Roman"/>
                <w:b w:val="0"/>
                <w:i w:val="0"/>
                <w:sz w:val="20"/>
              </w:rPr>
              <w:t>OS</w:t>
            </w:r>
          </w:p>
        </w:tc>
        <w:tc>
          <w:tcPr>
            <w:tcW w:type="dxa" w:w="1344"/>
            <w:vAlign w:val="center"/>
          </w:tcPr>
          <w:p>
            <w:pPr>
              <w:spacing w:before="0" w:after="0" w:line="264" w:lineRule="auto"/>
            </w:pPr>
            <w:r/>
            <w:r>
              <w:rPr>
                <w:rFonts w:ascii="Times New Roman" w:hAnsi="Times New Roman"/>
                <w:b w:val="0"/>
                <w:i w:val="0"/>
                <w:sz w:val="20"/>
              </w:rPr>
              <w:t>3.6 (1.6-8.2)</w:t>
            </w:r>
          </w:p>
        </w:tc>
        <w:tc>
          <w:tcPr>
            <w:tcW w:type="dxa" w:w="1344"/>
            <w:vAlign w:val="center"/>
          </w:tcPr>
          <w:p>
            <w:pPr>
              <w:spacing w:before="0" w:after="0" w:line="264" w:lineRule="auto"/>
            </w:pPr>
            <w:r/>
            <w:r>
              <w:rPr>
                <w:rFonts w:ascii="Times New Roman" w:hAnsi="Times New Roman"/>
                <w:b w:val="0"/>
                <w:i w:val="0"/>
                <w:sz w:val="20"/>
              </w:rPr>
              <w:t>.003</w:t>
            </w:r>
          </w:p>
        </w:tc>
        <w:tc>
          <w:tcPr>
            <w:tcW w:type="dxa" w:w="1344"/>
            <w:vAlign w:val="center"/>
          </w:tcPr>
          <w:p>
            <w:pPr>
              <w:spacing w:before="0" w:after="0" w:line="264" w:lineRule="auto"/>
            </w:pPr>
            <w:r/>
            <w:r>
              <w:rPr>
                <w:rFonts w:ascii="Times New Roman" w:hAnsi="Times New Roman"/>
                <w:b w:val="0"/>
                <w:i w:val="0"/>
                <w:sz w:val="20"/>
              </w:rPr>
              <w:t>0.63</w:t>
            </w:r>
          </w:p>
        </w:tc>
      </w:tr>
      <w:tr>
        <w:tc>
          <w:tcPr>
            <w:tcW w:type="dxa" w:w="1344"/>
            <w:vAlign w:val="center"/>
          </w:tcPr>
          <w:p>
            <w:pPr>
              <w:spacing w:before="0" w:after="0" w:line="264" w:lineRule="auto"/>
            </w:pPr>
            <w:r/>
            <w:r>
              <w:rPr>
                <w:rFonts w:ascii="Times New Roman" w:hAnsi="Times New Roman"/>
                <w:b w:val="0"/>
                <w:i w:val="0"/>
                <w:sz w:val="20"/>
              </w:rPr>
              <w:t>Deauville ≥4, day 14</w:t>
            </w:r>
          </w:p>
        </w:tc>
        <w:tc>
          <w:tcPr>
            <w:tcW w:type="dxa" w:w="1344"/>
            <w:vAlign w:val="center"/>
          </w:tcPr>
          <w:p>
            <w:pPr>
              <w:spacing w:before="0" w:after="0" w:line="264" w:lineRule="auto"/>
            </w:pPr>
            <w:r/>
            <w:r>
              <w:rPr>
                <w:rFonts w:ascii="Times New Roman" w:hAnsi="Times New Roman"/>
                <w:b w:val="0"/>
                <w:i w:val="0"/>
                <w:sz w:val="20"/>
              </w:rPr>
              <w:t>ALYCANTE</w:t>
            </w:r>
          </w:p>
        </w:tc>
        <w:tc>
          <w:tcPr>
            <w:tcW w:type="dxa" w:w="1344"/>
            <w:vAlign w:val="center"/>
          </w:tcPr>
          <w:p>
            <w:pPr>
              <w:spacing w:before="0" w:after="0" w:line="264" w:lineRule="auto"/>
            </w:pPr>
            <w:r/>
            <w:r>
              <w:rPr>
                <w:rFonts w:ascii="Times New Roman" w:hAnsi="Times New Roman"/>
                <w:b w:val="0"/>
                <w:i w:val="0"/>
                <w:sz w:val="20"/>
              </w:rPr>
              <w:t>52</w:t>
            </w:r>
          </w:p>
        </w:tc>
        <w:tc>
          <w:tcPr>
            <w:tcW w:type="dxa" w:w="1344"/>
            <w:vAlign w:val="center"/>
          </w:tcPr>
          <w:p>
            <w:pPr>
              <w:spacing w:before="0" w:after="0" w:line="264" w:lineRule="auto"/>
            </w:pPr>
            <w:r/>
            <w:r>
              <w:rPr>
                <w:rFonts w:ascii="Times New Roman" w:hAnsi="Times New Roman"/>
                <w:b w:val="0"/>
                <w:i w:val="0"/>
                <w:sz w:val="20"/>
              </w:rPr>
              <w:t>EFS</w:t>
            </w:r>
          </w:p>
        </w:tc>
        <w:tc>
          <w:tcPr>
            <w:tcW w:type="dxa" w:w="1344"/>
            <w:vAlign w:val="center"/>
          </w:tcPr>
          <w:p>
            <w:pPr>
              <w:spacing w:before="0" w:after="0" w:line="264" w:lineRule="auto"/>
            </w:pPr>
            <w:r/>
            <w:r>
              <w:rPr>
                <w:rFonts w:ascii="Times New Roman" w:hAnsi="Times New Roman"/>
                <w:b w:val="0"/>
                <w:i w:val="0"/>
                <w:sz w:val="20"/>
              </w:rPr>
              <w:t>0.85 (0.39-1.84)</w:t>
            </w:r>
          </w:p>
        </w:tc>
        <w:tc>
          <w:tcPr>
            <w:tcW w:type="dxa" w:w="1344"/>
            <w:vAlign w:val="center"/>
          </w:tcPr>
          <w:p>
            <w:pPr>
              <w:spacing w:before="0" w:after="0" w:line="264" w:lineRule="auto"/>
            </w:pPr>
            <w:r/>
            <w:r>
              <w:rPr>
                <w:rFonts w:ascii="Times New Roman" w:hAnsi="Times New Roman"/>
                <w:b w:val="0"/>
                <w:i w:val="0"/>
                <w:sz w:val="20"/>
              </w:rPr>
              <w:t>.68</w:t>
            </w:r>
          </w:p>
        </w:tc>
        <w:tc>
          <w:tcPr>
            <w:tcW w:type="dxa" w:w="1344"/>
            <w:vAlign w:val="center"/>
          </w:tcPr>
          <w:p>
            <w:pPr>
              <w:spacing w:before="0" w:after="0" w:line="264" w:lineRule="auto"/>
            </w:pPr>
            <w:r/>
            <w:r>
              <w:rPr>
                <w:rFonts w:ascii="Times New Roman" w:hAnsi="Times New Roman"/>
                <w:b w:val="0"/>
                <w:i w:val="0"/>
                <w:sz w:val="20"/>
              </w:rPr>
              <w:t>0.51</w:t>
            </w:r>
          </w:p>
        </w:tc>
      </w:tr>
      <w:tr>
        <w:tc>
          <w:tcPr>
            <w:tcW w:type="dxa" w:w="1344"/>
            <w:vAlign w:val="center"/>
          </w:tcPr>
          <w:p>
            <w:pPr>
              <w:spacing w:before="0" w:after="0" w:line="264" w:lineRule="auto"/>
            </w:pPr>
            <w:r/>
            <w:r>
              <w:rPr>
                <w:rFonts w:ascii="Times New Roman" w:hAnsi="Times New Roman"/>
                <w:b w:val="0"/>
                <w:i w:val="0"/>
                <w:sz w:val="20"/>
              </w:rPr>
              <w:t>Deauville ≥4, day 14</w:t>
            </w:r>
          </w:p>
        </w:tc>
        <w:tc>
          <w:tcPr>
            <w:tcW w:type="dxa" w:w="1344"/>
            <w:vAlign w:val="center"/>
          </w:tcPr>
          <w:p>
            <w:pPr>
              <w:spacing w:before="0" w:after="0" w:line="264" w:lineRule="auto"/>
            </w:pPr>
            <w:r/>
            <w:r>
              <w:rPr>
                <w:rFonts w:ascii="Times New Roman" w:hAnsi="Times New Roman"/>
                <w:b w:val="0"/>
                <w:i w:val="0"/>
                <w:sz w:val="20"/>
              </w:rPr>
              <w:t>ALYCANTE</w:t>
            </w:r>
          </w:p>
        </w:tc>
        <w:tc>
          <w:tcPr>
            <w:tcW w:type="dxa" w:w="1344"/>
            <w:vAlign w:val="center"/>
          </w:tcPr>
          <w:p>
            <w:pPr>
              <w:spacing w:before="0" w:after="0" w:line="264" w:lineRule="auto"/>
            </w:pPr>
            <w:r/>
            <w:r>
              <w:rPr>
                <w:rFonts w:ascii="Times New Roman" w:hAnsi="Times New Roman"/>
                <w:b w:val="0"/>
                <w:i w:val="0"/>
                <w:sz w:val="20"/>
              </w:rPr>
              <w:t>49</w:t>
            </w:r>
          </w:p>
        </w:tc>
        <w:tc>
          <w:tcPr>
            <w:tcW w:type="dxa" w:w="1344"/>
            <w:vAlign w:val="center"/>
          </w:tcPr>
          <w:p>
            <w:pPr>
              <w:spacing w:before="0" w:after="0" w:line="264" w:lineRule="auto"/>
            </w:pPr>
            <w:r/>
            <w:r>
              <w:rPr>
                <w:rFonts w:ascii="Times New Roman" w:hAnsi="Times New Roman"/>
                <w:b w:val="0"/>
                <w:i w:val="0"/>
                <w:sz w:val="20"/>
              </w:rPr>
              <w:t>OS</w:t>
            </w:r>
          </w:p>
        </w:tc>
        <w:tc>
          <w:tcPr>
            <w:tcW w:type="dxa" w:w="1344"/>
            <w:vAlign w:val="center"/>
          </w:tcPr>
          <w:p>
            <w:pPr>
              <w:spacing w:before="0" w:after="0" w:line="264" w:lineRule="auto"/>
            </w:pPr>
            <w:r/>
            <w:r>
              <w:rPr>
                <w:rFonts w:ascii="Times New Roman" w:hAnsi="Times New Roman"/>
                <w:b w:val="0"/>
                <w:i w:val="0"/>
                <w:sz w:val="20"/>
              </w:rPr>
              <w:t>0.43 (0.15-1.29)</w:t>
            </w:r>
          </w:p>
        </w:tc>
        <w:tc>
          <w:tcPr>
            <w:tcW w:type="dxa" w:w="1344"/>
            <w:vAlign w:val="center"/>
          </w:tcPr>
          <w:p>
            <w:pPr>
              <w:spacing w:before="0" w:after="0" w:line="264" w:lineRule="auto"/>
            </w:pPr>
            <w:r/>
            <w:r>
              <w:rPr>
                <w:rFonts w:ascii="Times New Roman" w:hAnsi="Times New Roman"/>
                <w:b w:val="0"/>
                <w:i w:val="0"/>
                <w:sz w:val="20"/>
              </w:rPr>
              <w:t>.13</w:t>
            </w:r>
          </w:p>
        </w:tc>
        <w:tc>
          <w:tcPr>
            <w:tcW w:type="dxa" w:w="1344"/>
            <w:vAlign w:val="center"/>
          </w:tcPr>
          <w:p>
            <w:pPr>
              <w:spacing w:before="0" w:after="0" w:line="264" w:lineRule="auto"/>
            </w:pPr>
            <w:r/>
            <w:r>
              <w:rPr>
                <w:rFonts w:ascii="Times New Roman" w:hAnsi="Times New Roman"/>
                <w:b w:val="0"/>
                <w:i w:val="0"/>
                <w:sz w:val="20"/>
              </w:rPr>
              <w:t>0.57</w:t>
            </w:r>
          </w:p>
        </w:tc>
      </w:tr>
      <w:tr>
        <w:tc>
          <w:tcPr>
            <w:tcW w:type="dxa" w:w="1344"/>
            <w:vAlign w:val="center"/>
          </w:tcPr>
          <w:p>
            <w:pPr>
              <w:spacing w:before="0" w:after="0" w:line="264" w:lineRule="auto"/>
            </w:pPr>
            <w:r/>
            <w:r>
              <w:rPr>
                <w:rFonts w:ascii="Times New Roman" w:hAnsi="Times New Roman"/>
                <w:b w:val="0"/>
                <w:i w:val="0"/>
                <w:sz w:val="20"/>
              </w:rPr>
              <w:t>Deauville ≥4, month 3</w:t>
            </w:r>
          </w:p>
        </w:tc>
        <w:tc>
          <w:tcPr>
            <w:tcW w:type="dxa" w:w="1344"/>
            <w:vAlign w:val="center"/>
          </w:tcPr>
          <w:p>
            <w:pPr>
              <w:spacing w:before="0" w:after="0" w:line="264" w:lineRule="auto"/>
            </w:pPr>
            <w:r/>
            <w:r>
              <w:rPr>
                <w:rFonts w:ascii="Times New Roman" w:hAnsi="Times New Roman"/>
                <w:b w:val="0"/>
                <w:i w:val="0"/>
                <w:sz w:val="20"/>
              </w:rPr>
              <w:t>ALYCANTE</w:t>
            </w:r>
          </w:p>
        </w:tc>
        <w:tc>
          <w:tcPr>
            <w:tcW w:type="dxa" w:w="1344"/>
            <w:vAlign w:val="center"/>
          </w:tcPr>
          <w:p>
            <w:pPr>
              <w:spacing w:before="0" w:after="0" w:line="264" w:lineRule="auto"/>
            </w:pPr>
            <w:r/>
            <w:r>
              <w:rPr>
                <w:rFonts w:ascii="Times New Roman" w:hAnsi="Times New Roman"/>
                <w:b w:val="0"/>
                <w:i w:val="0"/>
                <w:sz w:val="20"/>
              </w:rPr>
              <w:t>49</w:t>
            </w:r>
          </w:p>
        </w:tc>
        <w:tc>
          <w:tcPr>
            <w:tcW w:type="dxa" w:w="1344"/>
            <w:vAlign w:val="center"/>
          </w:tcPr>
          <w:p>
            <w:pPr>
              <w:spacing w:before="0" w:after="0" w:line="264" w:lineRule="auto"/>
            </w:pPr>
            <w:r/>
            <w:r>
              <w:rPr>
                <w:rFonts w:ascii="Times New Roman" w:hAnsi="Times New Roman"/>
                <w:b w:val="0"/>
                <w:i w:val="0"/>
                <w:sz w:val="20"/>
              </w:rPr>
              <w:t>EFS</w:t>
            </w:r>
          </w:p>
        </w:tc>
        <w:tc>
          <w:tcPr>
            <w:tcW w:type="dxa" w:w="1344"/>
            <w:vAlign w:val="center"/>
          </w:tcPr>
          <w:p>
            <w:pPr>
              <w:spacing w:before="0" w:after="0" w:line="264" w:lineRule="auto"/>
            </w:pPr>
            <w:r/>
            <w:r>
              <w:rPr>
                <w:rFonts w:ascii="Times New Roman" w:hAnsi="Times New Roman"/>
                <w:b w:val="0"/>
                <w:i w:val="0"/>
                <w:sz w:val="20"/>
              </w:rPr>
              <w:t>2.01 (0.89-4.56)</w:t>
            </w:r>
          </w:p>
        </w:tc>
        <w:tc>
          <w:tcPr>
            <w:tcW w:type="dxa" w:w="1344"/>
            <w:vAlign w:val="center"/>
          </w:tcPr>
          <w:p>
            <w:pPr>
              <w:spacing w:before="0" w:after="0" w:line="264" w:lineRule="auto"/>
            </w:pPr>
            <w:r/>
            <w:r>
              <w:rPr>
                <w:rFonts w:ascii="Times New Roman" w:hAnsi="Times New Roman"/>
                <w:b w:val="0"/>
                <w:i w:val="0"/>
                <w:sz w:val="20"/>
              </w:rPr>
              <w:t>.093</w:t>
            </w:r>
          </w:p>
        </w:tc>
        <w:tc>
          <w:tcPr>
            <w:tcW w:type="dxa" w:w="1344"/>
            <w:vAlign w:val="center"/>
          </w:tcPr>
          <w:p>
            <w:pPr>
              <w:spacing w:before="0" w:after="0" w:line="264" w:lineRule="auto"/>
            </w:pPr>
            <w:r/>
            <w:r>
              <w:rPr>
                <w:rFonts w:ascii="Times New Roman" w:hAnsi="Times New Roman"/>
                <w:b w:val="0"/>
                <w:i w:val="0"/>
                <w:sz w:val="20"/>
              </w:rPr>
              <w:t>0.56</w:t>
            </w:r>
          </w:p>
        </w:tc>
      </w:tr>
      <w:tr>
        <w:tc>
          <w:tcPr>
            <w:tcW w:type="dxa" w:w="1344"/>
            <w:vAlign w:val="center"/>
          </w:tcPr>
          <w:p>
            <w:pPr>
              <w:spacing w:before="0" w:after="0" w:line="264" w:lineRule="auto"/>
            </w:pPr>
            <w:r/>
            <w:r>
              <w:rPr>
                <w:rFonts w:ascii="Times New Roman" w:hAnsi="Times New Roman"/>
                <w:b w:val="0"/>
                <w:i w:val="0"/>
                <w:sz w:val="20"/>
              </w:rPr>
              <w:t>JLCM-Deauville (high vs low)</w:t>
            </w:r>
          </w:p>
        </w:tc>
        <w:tc>
          <w:tcPr>
            <w:tcW w:type="dxa" w:w="1344"/>
            <w:vAlign w:val="center"/>
          </w:tcPr>
          <w:p>
            <w:pPr>
              <w:spacing w:before="0" w:after="0" w:line="264" w:lineRule="auto"/>
            </w:pPr>
            <w:r/>
            <w:r>
              <w:rPr>
                <w:rFonts w:ascii="Times New Roman" w:hAnsi="Times New Roman"/>
                <w:b w:val="0"/>
                <w:i w:val="0"/>
                <w:sz w:val="20"/>
              </w:rPr>
              <w:t>ALYCANTE</w:t>
            </w:r>
          </w:p>
        </w:tc>
        <w:tc>
          <w:tcPr>
            <w:tcW w:type="dxa" w:w="1344"/>
            <w:vAlign w:val="center"/>
          </w:tcPr>
          <w:p>
            <w:pPr>
              <w:spacing w:before="0" w:after="0" w:line="264" w:lineRule="auto"/>
            </w:pPr>
            <w:r/>
            <w:r>
              <w:rPr>
                <w:rFonts w:ascii="Times New Roman" w:hAnsi="Times New Roman"/>
                <w:b w:val="0"/>
                <w:i w:val="0"/>
                <w:sz w:val="20"/>
              </w:rPr>
              <w:t>55</w:t>
            </w:r>
          </w:p>
        </w:tc>
        <w:tc>
          <w:tcPr>
            <w:tcW w:type="dxa" w:w="1344"/>
            <w:vAlign w:val="center"/>
          </w:tcPr>
          <w:p>
            <w:pPr>
              <w:spacing w:before="0" w:after="0" w:line="264" w:lineRule="auto"/>
            </w:pPr>
            <w:r/>
            <w:r>
              <w:rPr>
                <w:rFonts w:ascii="Times New Roman" w:hAnsi="Times New Roman"/>
                <w:b w:val="0"/>
                <w:i w:val="0"/>
                <w:sz w:val="20"/>
              </w:rPr>
              <w:t>EFS</w:t>
            </w:r>
          </w:p>
        </w:tc>
        <w:tc>
          <w:tcPr>
            <w:tcW w:type="dxa" w:w="1344"/>
            <w:vAlign w:val="center"/>
          </w:tcPr>
          <w:p>
            <w:pPr>
              <w:spacing w:before="0" w:after="0" w:line="264" w:lineRule="auto"/>
            </w:pPr>
            <w:r/>
            <w:r>
              <w:rPr>
                <w:rFonts w:ascii="Times New Roman" w:hAnsi="Times New Roman"/>
                <w:b w:val="0"/>
                <w:i w:val="0"/>
                <w:sz w:val="20"/>
              </w:rPr>
              <w:t>1.83 (0.88-3.79)</w:t>
            </w:r>
          </w:p>
        </w:tc>
        <w:tc>
          <w:tcPr>
            <w:tcW w:type="dxa" w:w="1344"/>
            <w:vAlign w:val="center"/>
          </w:tcPr>
          <w:p>
            <w:pPr>
              <w:spacing w:before="0" w:after="0" w:line="264" w:lineRule="auto"/>
            </w:pPr>
            <w:r/>
            <w:r>
              <w:rPr>
                <w:rFonts w:ascii="Times New Roman" w:hAnsi="Times New Roman"/>
                <w:b w:val="0"/>
                <w:i w:val="0"/>
                <w:sz w:val="20"/>
              </w:rPr>
              <w:t>.10</w:t>
            </w:r>
          </w:p>
        </w:tc>
        <w:tc>
          <w:tcPr>
            <w:tcW w:type="dxa" w:w="1344"/>
            <w:vAlign w:val="center"/>
          </w:tcPr>
          <w:p>
            <w:pPr>
              <w:spacing w:before="0" w:after="0" w:line="264" w:lineRule="auto"/>
            </w:pPr>
            <w:r/>
            <w:r>
              <w:rPr>
                <w:rFonts w:ascii="Times New Roman" w:hAnsi="Times New Roman"/>
                <w:b w:val="0"/>
                <w:i w:val="0"/>
                <w:sz w:val="20"/>
              </w:rPr>
              <w:t>0.56</w:t>
            </w:r>
          </w:p>
        </w:tc>
      </w:tr>
      <w:tr>
        <w:tc>
          <w:tcPr>
            <w:tcW w:type="dxa" w:w="1344"/>
            <w:vAlign w:val="center"/>
          </w:tcPr>
          <w:p>
            <w:pPr>
              <w:spacing w:before="0" w:after="0" w:line="264" w:lineRule="auto"/>
            </w:pPr>
            <w:r/>
            <w:r>
              <w:rPr>
                <w:rFonts w:ascii="Times New Roman" w:hAnsi="Times New Roman"/>
                <w:b w:val="0"/>
                <w:i w:val="0"/>
                <w:sz w:val="20"/>
              </w:rPr>
              <w:t>JLCM-Deauville (high vs low)</w:t>
            </w:r>
          </w:p>
        </w:tc>
        <w:tc>
          <w:tcPr>
            <w:tcW w:type="dxa" w:w="1344"/>
            <w:vAlign w:val="center"/>
          </w:tcPr>
          <w:p>
            <w:pPr>
              <w:spacing w:before="0" w:after="0" w:line="264" w:lineRule="auto"/>
            </w:pPr>
            <w:r/>
            <w:r>
              <w:rPr>
                <w:rFonts w:ascii="Times New Roman" w:hAnsi="Times New Roman"/>
                <w:b w:val="0"/>
                <w:i w:val="0"/>
                <w:sz w:val="20"/>
              </w:rPr>
              <w:t>ALYCANTE</w:t>
            </w:r>
          </w:p>
        </w:tc>
        <w:tc>
          <w:tcPr>
            <w:tcW w:type="dxa" w:w="1344"/>
            <w:vAlign w:val="center"/>
          </w:tcPr>
          <w:p>
            <w:pPr>
              <w:spacing w:before="0" w:after="0" w:line="264" w:lineRule="auto"/>
            </w:pPr>
            <w:r/>
            <w:r>
              <w:rPr>
                <w:rFonts w:ascii="Times New Roman" w:hAnsi="Times New Roman"/>
                <w:b w:val="0"/>
                <w:i w:val="0"/>
                <w:sz w:val="20"/>
              </w:rPr>
              <w:t>52</w:t>
            </w:r>
          </w:p>
        </w:tc>
        <w:tc>
          <w:tcPr>
            <w:tcW w:type="dxa" w:w="1344"/>
            <w:vAlign w:val="center"/>
          </w:tcPr>
          <w:p>
            <w:pPr>
              <w:spacing w:before="0" w:after="0" w:line="264" w:lineRule="auto"/>
            </w:pPr>
            <w:r/>
            <w:r>
              <w:rPr>
                <w:rFonts w:ascii="Times New Roman" w:hAnsi="Times New Roman"/>
                <w:b w:val="0"/>
                <w:i w:val="0"/>
                <w:sz w:val="20"/>
              </w:rPr>
              <w:t>OS</w:t>
            </w:r>
          </w:p>
        </w:tc>
        <w:tc>
          <w:tcPr>
            <w:tcW w:type="dxa" w:w="1344"/>
            <w:vAlign w:val="center"/>
          </w:tcPr>
          <w:p>
            <w:pPr>
              <w:spacing w:before="0" w:after="0" w:line="264" w:lineRule="auto"/>
            </w:pPr>
            <w:r/>
            <w:r>
              <w:rPr>
                <w:rFonts w:ascii="Times New Roman" w:hAnsi="Times New Roman"/>
                <w:b w:val="0"/>
                <w:i w:val="0"/>
                <w:sz w:val="20"/>
              </w:rPr>
              <w:t>0.81 (0.30-2.18)</w:t>
            </w:r>
          </w:p>
        </w:tc>
        <w:tc>
          <w:tcPr>
            <w:tcW w:type="dxa" w:w="1344"/>
            <w:vAlign w:val="center"/>
          </w:tcPr>
          <w:p>
            <w:pPr>
              <w:spacing w:before="0" w:after="0" w:line="264" w:lineRule="auto"/>
            </w:pPr>
            <w:r/>
            <w:r>
              <w:rPr>
                <w:rFonts w:ascii="Times New Roman" w:hAnsi="Times New Roman"/>
                <w:b w:val="0"/>
                <w:i w:val="0"/>
                <w:sz w:val="20"/>
              </w:rPr>
              <w:t>.67</w:t>
            </w:r>
          </w:p>
        </w:tc>
        <w:tc>
          <w:tcPr>
            <w:tcW w:type="dxa" w:w="1344"/>
            <w:vAlign w:val="center"/>
          </w:tcPr>
          <w:p>
            <w:pPr>
              <w:spacing w:before="0" w:after="0" w:line="264" w:lineRule="auto"/>
            </w:pPr>
            <w:r/>
            <w:r>
              <w:rPr>
                <w:rFonts w:ascii="Times New Roman" w:hAnsi="Times New Roman"/>
                <w:b w:val="0"/>
                <w:i w:val="0"/>
                <w:sz w:val="20"/>
              </w:rPr>
              <w:t>0.52</w:t>
            </w:r>
          </w:p>
        </w:tc>
      </w:tr>
      <w:tr>
        <w:tc>
          <w:tcPr>
            <w:tcW w:type="dxa" w:w="1344"/>
            <w:vAlign w:val="center"/>
          </w:tcPr>
          <w:p>
            <w:pPr>
              <w:spacing w:before="0" w:after="0" w:line="264" w:lineRule="auto"/>
            </w:pPr>
            <w:r/>
            <w:r>
              <w:rPr>
                <w:rFonts w:ascii="Times New Roman" w:hAnsi="Times New Roman"/>
                <w:b w:val="0"/>
                <w:i w:val="0"/>
                <w:sz w:val="20"/>
              </w:rPr>
              <w:t>ctDNA-JLCM + Deauville ≥4 (D14)</w:t>
            </w:r>
          </w:p>
        </w:tc>
        <w:tc>
          <w:tcPr>
            <w:tcW w:type="dxa" w:w="1344"/>
            <w:vAlign w:val="center"/>
          </w:tcPr>
          <w:p>
            <w:pPr>
              <w:spacing w:before="0" w:after="0" w:line="264" w:lineRule="auto"/>
            </w:pPr>
            <w:r/>
            <w:r>
              <w:rPr>
                <w:rFonts w:ascii="Times New Roman" w:hAnsi="Times New Roman"/>
                <w:b w:val="0"/>
                <w:i w:val="0"/>
                <w:sz w:val="20"/>
              </w:rPr>
              <w:t>ALYCANTE</w:t>
            </w:r>
          </w:p>
        </w:tc>
        <w:tc>
          <w:tcPr>
            <w:tcW w:type="dxa" w:w="1344"/>
            <w:vAlign w:val="center"/>
          </w:tcPr>
          <w:p>
            <w:pPr>
              <w:spacing w:before="0" w:after="0" w:line="264" w:lineRule="auto"/>
            </w:pPr>
            <w:r/>
            <w:r>
              <w:rPr>
                <w:rFonts w:ascii="Times New Roman" w:hAnsi="Times New Roman"/>
                <w:b w:val="0"/>
                <w:i w:val="0"/>
                <w:sz w:val="20"/>
              </w:rPr>
              <w:t>41</w:t>
            </w:r>
          </w:p>
        </w:tc>
        <w:tc>
          <w:tcPr>
            <w:tcW w:type="dxa" w:w="1344"/>
            <w:vAlign w:val="center"/>
          </w:tcPr>
          <w:p>
            <w:pPr>
              <w:spacing w:before="0" w:after="0" w:line="264" w:lineRule="auto"/>
            </w:pPr>
            <w:r/>
            <w:r>
              <w:rPr>
                <w:rFonts w:ascii="Times New Roman" w:hAnsi="Times New Roman"/>
                <w:b w:val="0"/>
                <w:i w:val="0"/>
                <w:sz w:val="20"/>
              </w:rPr>
              <w:t>EFS</w:t>
            </w:r>
          </w:p>
        </w:tc>
        <w:tc>
          <w:tcPr>
            <w:tcW w:type="dxa" w:w="1344"/>
            <w:vAlign w:val="center"/>
          </w:tcPr>
          <w:p>
            <w:pPr>
              <w:spacing w:before="0" w:after="0" w:line="264" w:lineRule="auto"/>
            </w:pPr>
            <w:r/>
            <w:r>
              <w:rPr>
                <w:rFonts w:ascii="Times New Roman" w:hAnsi="Times New Roman"/>
                <w:b w:val="0"/>
                <w:i w:val="0"/>
                <w:sz w:val="20"/>
              </w:rPr>
              <w:t>ctDNA, separation (</w:t>
            </w:r>
            <w:r>
              <w:rPr>
                <w:rFonts w:ascii="Times New Roman" w:hAnsi="Times New Roman"/>
                <w:i/>
                <w:sz w:val="20"/>
              </w:rPr>
              <w:t>P</w:t>
            </w:r>
            <w:r>
              <w:rPr>
                <w:rFonts w:ascii="Times New Roman" w:hAnsi="Times New Roman"/>
                <w:b w:val="0"/>
                <w:i w:val="0"/>
                <w:sz w:val="20"/>
              </w:rPr>
              <w:t xml:space="preserve"> = .997); Deauville, 1.02 (0.42-2.50; </w:t>
            </w:r>
            <w:r>
              <w:rPr>
                <w:rFonts w:ascii="Times New Roman" w:hAnsi="Times New Roman"/>
                <w:i/>
                <w:sz w:val="20"/>
              </w:rPr>
              <w:t>P</w:t>
            </w:r>
            <w:r>
              <w:rPr>
                <w:rFonts w:ascii="Times New Roman" w:hAnsi="Times New Roman"/>
                <w:b w:val="0"/>
                <w:i w:val="0"/>
                <w:sz w:val="20"/>
              </w:rPr>
              <w:t xml:space="preserve"> = .97)</w:t>
            </w:r>
          </w:p>
        </w:tc>
        <w:tc>
          <w:tcPr>
            <w:tcW w:type="dxa" w:w="1344"/>
            <w:vAlign w:val="center"/>
          </w:tcPr>
          <w:p>
            <w:pPr>
              <w:spacing w:before="0" w:after="0" w:line="264" w:lineRule="auto"/>
            </w:pPr>
            <w:r/>
            <w:r>
              <w:rPr>
                <w:rFonts w:ascii="Times New Roman" w:hAnsi="Times New Roman"/>
                <w:b w:val="0"/>
                <w:i w:val="0"/>
                <w:sz w:val="20"/>
              </w:rPr>
              <w:t>—</w:t>
            </w:r>
          </w:p>
        </w:tc>
        <w:tc>
          <w:tcPr>
            <w:tcW w:type="dxa" w:w="1344"/>
            <w:vAlign w:val="center"/>
          </w:tcPr>
          <w:p>
            <w:pPr>
              <w:spacing w:before="0" w:after="0" w:line="264" w:lineRule="auto"/>
            </w:pPr>
            <w:r/>
            <w:r>
              <w:rPr>
                <w:rFonts w:ascii="Times New Roman" w:hAnsi="Times New Roman"/>
                <w:b w:val="0"/>
                <w:i w:val="0"/>
                <w:sz w:val="20"/>
              </w:rPr>
              <w:t>0.82</w:t>
            </w:r>
            <w:r>
              <w:rPr>
                <w:rFonts w:ascii="Times New Roman" w:hAnsi="Times New Roman"/>
                <w:b w:val="0"/>
                <w:i w:val="0"/>
                <w:sz w:val="20"/>
                <w:vertAlign w:val="superscript"/>
              </w:rPr>
              <w:t>d</w:t>
            </w:r>
          </w:p>
        </w:tc>
      </w:tr>
      <w:tr>
        <w:tc>
          <w:tcPr>
            <w:tcW w:type="dxa" w:w="1344"/>
            <w:vAlign w:val="center"/>
          </w:tcPr>
          <w:p>
            <w:pPr>
              <w:spacing w:before="0" w:after="0" w:line="264" w:lineRule="auto"/>
            </w:pPr>
            <w:r/>
            <w:r>
              <w:rPr>
                <w:rFonts w:ascii="Times New Roman" w:hAnsi="Times New Roman"/>
                <w:b w:val="0"/>
                <w:i w:val="0"/>
                <w:sz w:val="20"/>
              </w:rPr>
              <w:t>ctDNA-JLCM + JLCM-Deauville</w:t>
            </w:r>
          </w:p>
        </w:tc>
        <w:tc>
          <w:tcPr>
            <w:tcW w:type="dxa" w:w="1344"/>
            <w:vAlign w:val="center"/>
          </w:tcPr>
          <w:p>
            <w:pPr>
              <w:spacing w:before="0" w:after="0" w:line="264" w:lineRule="auto"/>
            </w:pPr>
            <w:r/>
            <w:r>
              <w:rPr>
                <w:rFonts w:ascii="Times New Roman" w:hAnsi="Times New Roman"/>
                <w:b w:val="0"/>
                <w:i w:val="0"/>
                <w:sz w:val="20"/>
              </w:rPr>
              <w:t>ALYCANTE</w:t>
            </w:r>
          </w:p>
        </w:tc>
        <w:tc>
          <w:tcPr>
            <w:tcW w:type="dxa" w:w="1344"/>
            <w:vAlign w:val="center"/>
          </w:tcPr>
          <w:p>
            <w:pPr>
              <w:spacing w:before="0" w:after="0" w:line="264" w:lineRule="auto"/>
            </w:pPr>
            <w:r/>
            <w:r>
              <w:rPr>
                <w:rFonts w:ascii="Times New Roman" w:hAnsi="Times New Roman"/>
                <w:b w:val="0"/>
                <w:i w:val="0"/>
                <w:sz w:val="20"/>
              </w:rPr>
              <w:t>44</w:t>
            </w:r>
          </w:p>
        </w:tc>
        <w:tc>
          <w:tcPr>
            <w:tcW w:type="dxa" w:w="1344"/>
            <w:vAlign w:val="center"/>
          </w:tcPr>
          <w:p>
            <w:pPr>
              <w:spacing w:before="0" w:after="0" w:line="264" w:lineRule="auto"/>
            </w:pPr>
            <w:r/>
            <w:r>
              <w:rPr>
                <w:rFonts w:ascii="Times New Roman" w:hAnsi="Times New Roman"/>
                <w:b w:val="0"/>
                <w:i w:val="0"/>
                <w:sz w:val="20"/>
              </w:rPr>
              <w:t>EFS</w:t>
            </w:r>
          </w:p>
        </w:tc>
        <w:tc>
          <w:tcPr>
            <w:tcW w:type="dxa" w:w="1344"/>
            <w:vAlign w:val="center"/>
          </w:tcPr>
          <w:p>
            <w:pPr>
              <w:spacing w:before="0" w:after="0" w:line="264" w:lineRule="auto"/>
            </w:pPr>
            <w:r/>
            <w:r>
              <w:rPr>
                <w:rFonts w:ascii="Times New Roman" w:hAnsi="Times New Roman"/>
                <w:b w:val="0"/>
                <w:i w:val="0"/>
                <w:sz w:val="20"/>
              </w:rPr>
              <w:t>ctDNA, separation (</w:t>
            </w:r>
            <w:r>
              <w:rPr>
                <w:rFonts w:ascii="Times New Roman" w:hAnsi="Times New Roman"/>
                <w:i/>
                <w:sz w:val="20"/>
              </w:rPr>
              <w:t>P</w:t>
            </w:r>
            <w:r>
              <w:rPr>
                <w:rFonts w:ascii="Times New Roman" w:hAnsi="Times New Roman"/>
                <w:b w:val="0"/>
                <w:i w:val="0"/>
                <w:sz w:val="20"/>
              </w:rPr>
              <w:t xml:space="preserve"> = .997); JLCM-Deauville, 1.11 (0.45-2.71; </w:t>
            </w:r>
            <w:r>
              <w:rPr>
                <w:rFonts w:ascii="Times New Roman" w:hAnsi="Times New Roman"/>
                <w:i/>
                <w:sz w:val="20"/>
              </w:rPr>
              <w:t>P</w:t>
            </w:r>
            <w:r>
              <w:rPr>
                <w:rFonts w:ascii="Times New Roman" w:hAnsi="Times New Roman"/>
                <w:b w:val="0"/>
                <w:i w:val="0"/>
                <w:sz w:val="20"/>
              </w:rPr>
              <w:t xml:space="preserve"> = .83)</w:t>
            </w:r>
          </w:p>
        </w:tc>
        <w:tc>
          <w:tcPr>
            <w:tcW w:type="dxa" w:w="1344"/>
            <w:vAlign w:val="center"/>
          </w:tcPr>
          <w:p>
            <w:pPr>
              <w:spacing w:before="0" w:after="0" w:line="264" w:lineRule="auto"/>
            </w:pPr>
            <w:r/>
            <w:r>
              <w:rPr>
                <w:rFonts w:ascii="Times New Roman" w:hAnsi="Times New Roman"/>
                <w:b w:val="0"/>
                <w:i w:val="0"/>
                <w:sz w:val="20"/>
              </w:rPr>
              <w:t>—</w:t>
            </w:r>
          </w:p>
        </w:tc>
        <w:tc>
          <w:tcPr>
            <w:tcW w:type="dxa" w:w="1344"/>
            <w:vAlign w:val="center"/>
          </w:tcPr>
          <w:p>
            <w:pPr>
              <w:spacing w:before="0" w:after="0" w:line="264" w:lineRule="auto"/>
            </w:pPr>
            <w:r/>
            <w:r>
              <w:rPr>
                <w:rFonts w:ascii="Times New Roman" w:hAnsi="Times New Roman"/>
                <w:b w:val="0"/>
                <w:i w:val="0"/>
                <w:sz w:val="20"/>
              </w:rPr>
              <w:t>0.82</w:t>
            </w:r>
            <w:r>
              <w:rPr>
                <w:rFonts w:ascii="Times New Roman" w:hAnsi="Times New Roman"/>
                <w:b w:val="0"/>
                <w:i w:val="0"/>
                <w:sz w:val="20"/>
                <w:vertAlign w:val="superscript"/>
              </w:rPr>
              <w:t>d</w:t>
            </w:r>
          </w:p>
        </w:tc>
      </w:tr>
      <w:tr>
        <w:tc>
          <w:tcPr>
            <w:tcW w:type="dxa" w:w="1344"/>
            <w:vAlign w:val="center"/>
          </w:tcPr>
          <w:p>
            <w:pPr>
              <w:spacing w:before="0" w:after="0" w:line="264" w:lineRule="auto"/>
            </w:pPr>
            <w:r/>
            <w:r>
              <w:rPr>
                <w:rFonts w:ascii="Times New Roman" w:hAnsi="Times New Roman"/>
                <w:b w:val="0"/>
                <w:i w:val="0"/>
                <w:sz w:val="20"/>
              </w:rPr>
              <w:t>Multivariable (JLCM + IPI + MTV)</w:t>
            </w:r>
          </w:p>
        </w:tc>
        <w:tc>
          <w:tcPr>
            <w:tcW w:type="dxa" w:w="1344"/>
            <w:vAlign w:val="center"/>
          </w:tcPr>
          <w:p>
            <w:pPr>
              <w:spacing w:before="0" w:after="0" w:line="264" w:lineRule="auto"/>
            </w:pPr>
            <w:r/>
            <w:r>
              <w:rPr>
                <w:rFonts w:ascii="Times New Roman" w:hAnsi="Times New Roman"/>
                <w:b w:val="0"/>
                <w:i w:val="0"/>
                <w:sz w:val="20"/>
              </w:rPr>
              <w:t>ALYCANTE</w:t>
            </w:r>
          </w:p>
        </w:tc>
        <w:tc>
          <w:tcPr>
            <w:tcW w:type="dxa" w:w="1344"/>
            <w:vAlign w:val="center"/>
          </w:tcPr>
          <w:p>
            <w:pPr>
              <w:spacing w:before="0" w:after="0" w:line="264" w:lineRule="auto"/>
            </w:pPr>
            <w:r/>
            <w:r>
              <w:rPr>
                <w:rFonts w:ascii="Times New Roman" w:hAnsi="Times New Roman"/>
                <w:b w:val="0"/>
                <w:i w:val="0"/>
                <w:sz w:val="20"/>
              </w:rPr>
              <w:t>44</w:t>
            </w:r>
          </w:p>
        </w:tc>
        <w:tc>
          <w:tcPr>
            <w:tcW w:type="dxa" w:w="1344"/>
            <w:vAlign w:val="center"/>
          </w:tcPr>
          <w:p>
            <w:pPr>
              <w:spacing w:before="0" w:after="0" w:line="264" w:lineRule="auto"/>
            </w:pPr>
            <w:r/>
            <w:r>
              <w:rPr>
                <w:rFonts w:ascii="Times New Roman" w:hAnsi="Times New Roman"/>
                <w:b w:val="0"/>
                <w:i w:val="0"/>
                <w:sz w:val="20"/>
              </w:rPr>
              <w:t>EFS (lymphoma)</w:t>
            </w:r>
          </w:p>
        </w:tc>
        <w:tc>
          <w:tcPr>
            <w:tcW w:type="dxa" w:w="1344"/>
            <w:vAlign w:val="center"/>
          </w:tcPr>
          <w:p>
            <w:pPr>
              <w:spacing w:before="0" w:after="0" w:line="264" w:lineRule="auto"/>
            </w:pPr>
            <w:r/>
            <w:r>
              <w:rPr>
                <w:rFonts w:ascii="Times New Roman" w:hAnsi="Times New Roman"/>
                <w:b w:val="0"/>
                <w:i w:val="0"/>
                <w:sz w:val="20"/>
              </w:rPr>
              <w:t>JLCM, 14.9 (4.8-46.4); IPI, 1.19 (0.45-3.13); MTV, 1.53 (0.86-2.72)</w:t>
            </w:r>
          </w:p>
        </w:tc>
        <w:tc>
          <w:tcPr>
            <w:tcW w:type="dxa" w:w="1344"/>
            <w:vAlign w:val="center"/>
          </w:tcPr>
          <w:p>
            <w:pPr>
              <w:spacing w:before="0" w:after="0" w:line="264" w:lineRule="auto"/>
            </w:pPr>
            <w:r/>
            <w:r>
              <w:rPr>
                <w:rFonts w:ascii="Times New Roman" w:hAnsi="Times New Roman"/>
                <w:b w:val="0"/>
                <w:i w:val="0"/>
                <w:sz w:val="20"/>
              </w:rPr>
              <w:t>&lt;.001</w:t>
            </w:r>
          </w:p>
        </w:tc>
        <w:tc>
          <w:tcPr>
            <w:tcW w:type="dxa" w:w="1344"/>
            <w:vAlign w:val="center"/>
          </w:tcPr>
          <w:p>
            <w:pPr>
              <w:spacing w:before="0" w:after="0" w:line="264" w:lineRule="auto"/>
            </w:pPr>
            <w:r/>
            <w:r>
              <w:rPr>
                <w:rFonts w:ascii="Times New Roman" w:hAnsi="Times New Roman"/>
                <w:b w:val="0"/>
                <w:i w:val="0"/>
                <w:sz w:val="20"/>
              </w:rPr>
              <w:t>0.86 apparent (boot 0.52)</w:t>
            </w:r>
            <w:r>
              <w:rPr>
                <w:rFonts w:ascii="Times New Roman" w:hAnsi="Times New Roman"/>
                <w:b w:val="0"/>
                <w:i w:val="0"/>
                <w:sz w:val="20"/>
                <w:vertAlign w:val="superscript"/>
              </w:rPr>
              <w:t>e</w:t>
            </w:r>
          </w:p>
        </w:tc>
      </w:tr>
      <w:tr>
        <w:tc>
          <w:tcPr>
            <w:tcW w:type="dxa" w:w="1344"/>
            <w:vAlign w:val="center"/>
          </w:tcPr>
          <w:p>
            <w:pPr>
              <w:spacing w:before="0" w:after="0" w:line="264" w:lineRule="auto"/>
            </w:pPr>
            <w:r/>
            <w:r>
              <w:rPr>
                <w:rFonts w:ascii="Times New Roman" w:hAnsi="Times New Roman"/>
                <w:b w:val="0"/>
                <w:i w:val="0"/>
                <w:sz w:val="20"/>
              </w:rPr>
              <w:t>Multivariable (JLCM + IPI + MTV)</w:t>
            </w:r>
          </w:p>
        </w:tc>
        <w:tc>
          <w:tcPr>
            <w:tcW w:type="dxa" w:w="1344"/>
            <w:vAlign w:val="center"/>
          </w:tcPr>
          <w:p>
            <w:pPr>
              <w:spacing w:before="0" w:after="0" w:line="264" w:lineRule="auto"/>
            </w:pPr>
            <w:r/>
            <w:r>
              <w:rPr>
                <w:rFonts w:ascii="Times New Roman" w:hAnsi="Times New Roman"/>
                <w:b w:val="0"/>
                <w:i w:val="0"/>
                <w:sz w:val="20"/>
              </w:rPr>
              <w:t>ALYCANTE</w:t>
            </w:r>
          </w:p>
        </w:tc>
        <w:tc>
          <w:tcPr>
            <w:tcW w:type="dxa" w:w="1344"/>
            <w:vAlign w:val="center"/>
          </w:tcPr>
          <w:p>
            <w:pPr>
              <w:spacing w:before="0" w:after="0" w:line="264" w:lineRule="auto"/>
            </w:pPr>
            <w:r/>
            <w:r>
              <w:rPr>
                <w:rFonts w:ascii="Times New Roman" w:hAnsi="Times New Roman"/>
                <w:b w:val="0"/>
                <w:i w:val="0"/>
                <w:sz w:val="20"/>
              </w:rPr>
              <w:t>44</w:t>
            </w:r>
          </w:p>
        </w:tc>
        <w:tc>
          <w:tcPr>
            <w:tcW w:type="dxa" w:w="1344"/>
            <w:vAlign w:val="center"/>
          </w:tcPr>
          <w:p>
            <w:pPr>
              <w:spacing w:before="0" w:after="0" w:line="264" w:lineRule="auto"/>
            </w:pPr>
            <w:r/>
            <w:r>
              <w:rPr>
                <w:rFonts w:ascii="Times New Roman" w:hAnsi="Times New Roman"/>
                <w:b w:val="0"/>
                <w:i w:val="0"/>
                <w:sz w:val="20"/>
              </w:rPr>
              <w:t>OS</w:t>
            </w:r>
          </w:p>
        </w:tc>
        <w:tc>
          <w:tcPr>
            <w:tcW w:type="dxa" w:w="1344"/>
            <w:vAlign w:val="center"/>
          </w:tcPr>
          <w:p>
            <w:pPr>
              <w:spacing w:before="0" w:after="0" w:line="264" w:lineRule="auto"/>
            </w:pPr>
            <w:r/>
            <w:r>
              <w:rPr>
                <w:rFonts w:ascii="Times New Roman" w:hAnsi="Times New Roman"/>
                <w:b w:val="0"/>
                <w:i w:val="0"/>
                <w:sz w:val="20"/>
              </w:rPr>
              <w:t>JLCM, 7.7 (2.7-22.2); IPI, 1.49 (0.53-4.19); MTV, 0.72 (0.41-1.28)</w:t>
            </w:r>
          </w:p>
        </w:tc>
        <w:tc>
          <w:tcPr>
            <w:tcW w:type="dxa" w:w="1344"/>
            <w:vAlign w:val="center"/>
          </w:tcPr>
          <w:p>
            <w:pPr>
              <w:spacing w:before="0" w:after="0" w:line="264" w:lineRule="auto"/>
            </w:pPr>
            <w:r/>
            <w:r>
              <w:rPr>
                <w:rFonts w:ascii="Times New Roman" w:hAnsi="Times New Roman"/>
                <w:b w:val="0"/>
                <w:i w:val="0"/>
                <w:sz w:val="20"/>
              </w:rPr>
              <w:t>&lt;.001</w:t>
            </w:r>
          </w:p>
        </w:tc>
        <w:tc>
          <w:tcPr>
            <w:tcW w:type="dxa" w:w="1344"/>
            <w:vAlign w:val="center"/>
          </w:tcPr>
          <w:p>
            <w:pPr>
              <w:spacing w:before="0" w:after="0" w:line="264" w:lineRule="auto"/>
            </w:pPr>
            <w:r/>
            <w:r>
              <w:rPr>
                <w:rFonts w:ascii="Times New Roman" w:hAnsi="Times New Roman"/>
                <w:b w:val="0"/>
                <w:i w:val="0"/>
                <w:sz w:val="20"/>
              </w:rPr>
              <w:t>0.82 apparent (boot 0.53)</w:t>
            </w:r>
            <w:r>
              <w:rPr>
                <w:rFonts w:ascii="Times New Roman" w:hAnsi="Times New Roman"/>
                <w:b w:val="0"/>
                <w:i w:val="0"/>
                <w:sz w:val="20"/>
                <w:vertAlign w:val="superscript"/>
              </w:rPr>
              <w:t>e</w:t>
            </w:r>
          </w:p>
        </w:tc>
      </w:tr>
      <w:tr>
        <w:tc>
          <w:tcPr>
            <w:tcW w:type="dxa" w:w="1344"/>
            <w:vAlign w:val="center"/>
          </w:tcPr>
          <w:p>
            <w:pPr>
              <w:spacing w:before="0" w:after="0" w:line="264" w:lineRule="auto"/>
            </w:pPr>
            <w:r/>
            <w:r>
              <w:rPr>
                <w:rFonts w:ascii="Times New Roman" w:hAnsi="Times New Roman"/>
                <w:b w:val="0"/>
                <w:i w:val="0"/>
                <w:sz w:val="20"/>
              </w:rPr>
              <w:t>Bi-marker (ctDNA + MTV)</w:t>
            </w:r>
          </w:p>
        </w:tc>
        <w:tc>
          <w:tcPr>
            <w:tcW w:type="dxa" w:w="1344"/>
            <w:vAlign w:val="center"/>
          </w:tcPr>
          <w:p>
            <w:pPr>
              <w:spacing w:before="0" w:after="0" w:line="264" w:lineRule="auto"/>
            </w:pPr>
            <w:r/>
            <w:r>
              <w:rPr>
                <w:rFonts w:ascii="Times New Roman" w:hAnsi="Times New Roman"/>
                <w:b w:val="0"/>
                <w:i w:val="0"/>
                <w:sz w:val="20"/>
              </w:rPr>
              <w:t>ALYCANTE</w:t>
            </w:r>
          </w:p>
        </w:tc>
        <w:tc>
          <w:tcPr>
            <w:tcW w:type="dxa" w:w="1344"/>
            <w:vAlign w:val="center"/>
          </w:tcPr>
          <w:p>
            <w:pPr>
              <w:spacing w:before="0" w:after="0" w:line="264" w:lineRule="auto"/>
            </w:pPr>
            <w:r/>
            <w:r>
              <w:rPr>
                <w:rFonts w:ascii="Times New Roman" w:hAnsi="Times New Roman"/>
                <w:b w:val="0"/>
                <w:i w:val="0"/>
                <w:sz w:val="20"/>
              </w:rPr>
              <w:t>44</w:t>
            </w:r>
          </w:p>
        </w:tc>
        <w:tc>
          <w:tcPr>
            <w:tcW w:type="dxa" w:w="1344"/>
            <w:vAlign w:val="center"/>
          </w:tcPr>
          <w:p>
            <w:pPr>
              <w:spacing w:before="0" w:after="0" w:line="264" w:lineRule="auto"/>
            </w:pPr>
            <w:r/>
            <w:r>
              <w:rPr>
                <w:rFonts w:ascii="Times New Roman" w:hAnsi="Times New Roman"/>
                <w:b w:val="0"/>
                <w:i w:val="0"/>
                <w:sz w:val="20"/>
              </w:rPr>
              <w:t>EFS</w:t>
            </w:r>
          </w:p>
        </w:tc>
        <w:tc>
          <w:tcPr>
            <w:tcW w:type="dxa" w:w="1344"/>
            <w:vAlign w:val="center"/>
          </w:tcPr>
          <w:p>
            <w:pPr>
              <w:spacing w:before="0" w:after="0" w:line="264" w:lineRule="auto"/>
            </w:pPr>
            <w:r/>
            <w:r>
              <w:rPr>
                <w:rFonts w:ascii="Times New Roman" w:hAnsi="Times New Roman"/>
                <w:b w:val="0"/>
                <w:i w:val="0"/>
                <w:sz w:val="20"/>
              </w:rPr>
              <w:t xml:space="preserve">ctDNA, </w:t>
            </w:r>
            <w:r>
              <w:rPr>
                <w:rFonts w:ascii="Times New Roman" w:hAnsi="Times New Roman"/>
                <w:i/>
                <w:sz w:val="20"/>
              </w:rPr>
              <w:t>P</w:t>
            </w:r>
            <w:r>
              <w:rPr>
                <w:rFonts w:ascii="Times New Roman" w:hAnsi="Times New Roman"/>
                <w:b w:val="0"/>
                <w:i w:val="0"/>
                <w:sz w:val="20"/>
              </w:rPr>
              <w:t xml:space="preserve"> &lt; .001 (separation); MTV, 1.20 (0.43-3.32; </w:t>
            </w:r>
            <w:r>
              <w:rPr>
                <w:rFonts w:ascii="Times New Roman" w:hAnsi="Times New Roman"/>
                <w:i/>
                <w:sz w:val="20"/>
              </w:rPr>
              <w:t>P</w:t>
            </w:r>
            <w:r>
              <w:rPr>
                <w:rFonts w:ascii="Times New Roman" w:hAnsi="Times New Roman"/>
                <w:b w:val="0"/>
                <w:i w:val="0"/>
                <w:sz w:val="20"/>
              </w:rPr>
              <w:t xml:space="preserve"> = .73)</w:t>
            </w:r>
          </w:p>
        </w:tc>
        <w:tc>
          <w:tcPr>
            <w:tcW w:type="dxa" w:w="1344"/>
            <w:vAlign w:val="center"/>
          </w:tcPr>
          <w:p>
            <w:pPr>
              <w:spacing w:before="0" w:after="0" w:line="264" w:lineRule="auto"/>
            </w:pPr>
            <w:r/>
            <w:r>
              <w:rPr>
                <w:rFonts w:ascii="Times New Roman" w:hAnsi="Times New Roman"/>
                <w:b w:val="0"/>
                <w:i w:val="0"/>
                <w:sz w:val="20"/>
              </w:rPr>
              <w:t>—</w:t>
            </w:r>
          </w:p>
        </w:tc>
        <w:tc>
          <w:tcPr>
            <w:tcW w:type="dxa" w:w="1344"/>
            <w:vAlign w:val="center"/>
          </w:tcPr>
          <w:p>
            <w:pPr>
              <w:spacing w:before="0" w:after="0" w:line="264" w:lineRule="auto"/>
            </w:pPr>
            <w:r/>
            <w:r>
              <w:rPr>
                <w:rFonts w:ascii="Times New Roman" w:hAnsi="Times New Roman"/>
                <w:b w:val="0"/>
                <w:i w:val="0"/>
                <w:sz w:val="20"/>
              </w:rPr>
              <w:t>0.81</w:t>
            </w:r>
          </w:p>
        </w:tc>
      </w:tr>
      <w:tr>
        <w:tc>
          <w:tcPr>
            <w:tcW w:type="dxa" w:w="1344"/>
            <w:vAlign w:val="center"/>
          </w:tcPr>
          <w:p>
            <w:pPr>
              <w:spacing w:before="0" w:after="0" w:line="264" w:lineRule="auto"/>
            </w:pPr>
            <w:r/>
            <w:r>
              <w:rPr>
                <w:rFonts w:ascii="Times New Roman" w:hAnsi="Times New Roman"/>
                <w:b/>
                <w:sz w:val="20"/>
              </w:rPr>
              <w:t>JLCM-ctDNA, day 14 (validation)</w:t>
            </w:r>
          </w:p>
        </w:tc>
        <w:tc>
          <w:tcPr>
            <w:tcW w:type="dxa" w:w="1344"/>
            <w:vAlign w:val="center"/>
          </w:tcPr>
          <w:p>
            <w:pPr>
              <w:spacing w:before="0" w:after="0" w:line="264" w:lineRule="auto"/>
            </w:pPr>
            <w:r/>
            <w:r>
              <w:rPr>
                <w:rFonts w:ascii="Times New Roman" w:hAnsi="Times New Roman"/>
                <w:b w:val="0"/>
                <w:i w:val="0"/>
                <w:sz w:val="20"/>
              </w:rPr>
              <w:t>Henri-Mondor real-world</w:t>
            </w:r>
            <w:r>
              <w:rPr>
                <w:rFonts w:ascii="Times New Roman" w:hAnsi="Times New Roman"/>
                <w:b w:val="0"/>
                <w:i w:val="0"/>
                <w:sz w:val="20"/>
                <w:vertAlign w:val="superscript"/>
              </w:rPr>
              <w:t>f</w:t>
            </w:r>
          </w:p>
        </w:tc>
        <w:tc>
          <w:tcPr>
            <w:tcW w:type="dxa" w:w="1344"/>
            <w:vAlign w:val="center"/>
          </w:tcPr>
          <w:p>
            <w:pPr>
              <w:spacing w:before="0" w:after="0" w:line="264" w:lineRule="auto"/>
            </w:pPr>
            <w:r/>
            <w:r>
              <w:rPr>
                <w:rFonts w:ascii="Times New Roman" w:hAnsi="Times New Roman"/>
                <w:b w:val="0"/>
                <w:i w:val="0"/>
                <w:sz w:val="20"/>
              </w:rPr>
              <w:t>18</w:t>
            </w:r>
          </w:p>
        </w:tc>
        <w:tc>
          <w:tcPr>
            <w:tcW w:type="dxa" w:w="1344"/>
            <w:vAlign w:val="center"/>
          </w:tcPr>
          <w:p>
            <w:pPr>
              <w:spacing w:before="0" w:after="0" w:line="264" w:lineRule="auto"/>
            </w:pPr>
            <w:r/>
            <w:r>
              <w:rPr>
                <w:rFonts w:ascii="Times New Roman" w:hAnsi="Times New Roman"/>
                <w:b w:val="0"/>
                <w:i w:val="0"/>
                <w:sz w:val="20"/>
              </w:rPr>
              <w:t>EFS</w:t>
            </w:r>
          </w:p>
        </w:tc>
        <w:tc>
          <w:tcPr>
            <w:tcW w:type="dxa" w:w="1344"/>
            <w:vAlign w:val="center"/>
          </w:tcPr>
          <w:p>
            <w:pPr>
              <w:spacing w:before="0" w:after="0" w:line="264" w:lineRule="auto"/>
            </w:pPr>
            <w:r/>
            <w:r>
              <w:rPr>
                <w:rFonts w:ascii="Times New Roman" w:hAnsi="Times New Roman"/>
                <w:b w:val="0"/>
                <w:i w:val="0"/>
                <w:sz w:val="20"/>
              </w:rPr>
              <w:t>8.32 (1.98-34.94)</w:t>
            </w:r>
          </w:p>
        </w:tc>
        <w:tc>
          <w:tcPr>
            <w:tcW w:type="dxa" w:w="1344"/>
            <w:vAlign w:val="center"/>
          </w:tcPr>
          <w:p>
            <w:pPr>
              <w:spacing w:before="0" w:after="0" w:line="264" w:lineRule="auto"/>
            </w:pPr>
            <w:r/>
            <w:r>
              <w:rPr>
                <w:rFonts w:ascii="Times New Roman" w:hAnsi="Times New Roman"/>
                <w:b w:val="0"/>
                <w:i w:val="0"/>
                <w:sz w:val="20"/>
              </w:rPr>
              <w:t>&lt;.001</w:t>
            </w:r>
          </w:p>
        </w:tc>
        <w:tc>
          <w:tcPr>
            <w:tcW w:type="dxa" w:w="1344"/>
            <w:vAlign w:val="center"/>
          </w:tcPr>
          <w:p>
            <w:pPr>
              <w:spacing w:before="0" w:after="0" w:line="264" w:lineRule="auto"/>
            </w:pPr>
            <w:r/>
            <w:r>
              <w:rPr>
                <w:rFonts w:ascii="Times New Roman" w:hAnsi="Times New Roman"/>
                <w:b w:val="0"/>
                <w:i w:val="0"/>
                <w:sz w:val="20"/>
              </w:rPr>
              <w:t>—</w:t>
            </w:r>
          </w:p>
        </w:tc>
      </w:tr>
      <w:tr>
        <w:tc>
          <w:tcPr>
            <w:tcW w:type="dxa" w:w="1344"/>
            <w:vAlign w:val="center"/>
          </w:tcPr>
          <w:p>
            <w:pPr>
              <w:spacing w:before="0" w:after="0" w:line="264" w:lineRule="auto"/>
            </w:pPr>
            <w:r/>
            <w:r>
              <w:rPr>
                <w:rFonts w:ascii="Times New Roman" w:hAnsi="Times New Roman"/>
                <w:b/>
                <w:sz w:val="20"/>
              </w:rPr>
              <w:t>JLCM-ctDNA, day 14 (validation)</w:t>
            </w:r>
          </w:p>
        </w:tc>
        <w:tc>
          <w:tcPr>
            <w:tcW w:type="dxa" w:w="1344"/>
            <w:vAlign w:val="center"/>
          </w:tcPr>
          <w:p>
            <w:pPr>
              <w:spacing w:before="0" w:after="0" w:line="264" w:lineRule="auto"/>
            </w:pPr>
            <w:r/>
            <w:r>
              <w:rPr>
                <w:rFonts w:ascii="Times New Roman" w:hAnsi="Times New Roman"/>
                <w:b w:val="0"/>
                <w:i w:val="0"/>
                <w:sz w:val="20"/>
              </w:rPr>
              <w:t>Henri-Mondor real-world</w:t>
            </w:r>
            <w:r>
              <w:rPr>
                <w:rFonts w:ascii="Times New Roman" w:hAnsi="Times New Roman"/>
                <w:b w:val="0"/>
                <w:i w:val="0"/>
                <w:sz w:val="20"/>
                <w:vertAlign w:val="superscript"/>
              </w:rPr>
              <w:t>f</w:t>
            </w:r>
          </w:p>
        </w:tc>
        <w:tc>
          <w:tcPr>
            <w:tcW w:type="dxa" w:w="1344"/>
            <w:vAlign w:val="center"/>
          </w:tcPr>
          <w:p>
            <w:pPr>
              <w:spacing w:before="0" w:after="0" w:line="264" w:lineRule="auto"/>
            </w:pPr>
            <w:r/>
            <w:r>
              <w:rPr>
                <w:rFonts w:ascii="Times New Roman" w:hAnsi="Times New Roman"/>
                <w:b w:val="0"/>
                <w:i w:val="0"/>
                <w:sz w:val="20"/>
              </w:rPr>
              <w:t>18</w:t>
            </w:r>
          </w:p>
        </w:tc>
        <w:tc>
          <w:tcPr>
            <w:tcW w:type="dxa" w:w="1344"/>
            <w:vAlign w:val="center"/>
          </w:tcPr>
          <w:p>
            <w:pPr>
              <w:spacing w:before="0" w:after="0" w:line="264" w:lineRule="auto"/>
            </w:pPr>
            <w:r/>
            <w:r>
              <w:rPr>
                <w:rFonts w:ascii="Times New Roman" w:hAnsi="Times New Roman"/>
                <w:b w:val="0"/>
                <w:i w:val="0"/>
                <w:sz w:val="20"/>
              </w:rPr>
              <w:t>OS</w:t>
            </w:r>
          </w:p>
        </w:tc>
        <w:tc>
          <w:tcPr>
            <w:tcW w:type="dxa" w:w="1344"/>
            <w:vAlign w:val="center"/>
          </w:tcPr>
          <w:p>
            <w:pPr>
              <w:spacing w:before="0" w:after="0" w:line="264" w:lineRule="auto"/>
            </w:pPr>
            <w:r/>
            <w:r>
              <w:rPr>
                <w:rFonts w:ascii="Times New Roman" w:hAnsi="Times New Roman"/>
                <w:b w:val="0"/>
                <w:i w:val="0"/>
                <w:sz w:val="20"/>
              </w:rPr>
              <w:t>NE</w:t>
            </w:r>
            <w:r>
              <w:rPr>
                <w:rFonts w:ascii="Times New Roman" w:hAnsi="Times New Roman"/>
                <w:b w:val="0"/>
                <w:i w:val="0"/>
                <w:sz w:val="20"/>
                <w:vertAlign w:val="superscript"/>
              </w:rPr>
              <w:t>g</w:t>
            </w:r>
          </w:p>
        </w:tc>
        <w:tc>
          <w:tcPr>
            <w:tcW w:type="dxa" w:w="1344"/>
            <w:vAlign w:val="center"/>
          </w:tcPr>
          <w:p>
            <w:pPr>
              <w:spacing w:before="0" w:after="0" w:line="264" w:lineRule="auto"/>
            </w:pPr>
            <w:r/>
            <w:r>
              <w:rPr>
                <w:rFonts w:ascii="Times New Roman" w:hAnsi="Times New Roman"/>
                <w:b w:val="0"/>
                <w:i w:val="0"/>
                <w:sz w:val="20"/>
              </w:rPr>
              <w:t>.012</w:t>
            </w:r>
          </w:p>
        </w:tc>
        <w:tc>
          <w:tcPr>
            <w:tcW w:type="dxa" w:w="1344"/>
            <w:vAlign w:val="center"/>
          </w:tcPr>
          <w:p>
            <w:pPr>
              <w:spacing w:before="0" w:after="0" w:line="264" w:lineRule="auto"/>
            </w:pPr>
            <w:r/>
            <w:r>
              <w:rPr>
                <w:rFonts w:ascii="Times New Roman" w:hAnsi="Times New Roman"/>
                <w:b w:val="0"/>
                <w:i w:val="0"/>
                <w:sz w:val="20"/>
              </w:rPr>
              <w:t>—</w:t>
            </w:r>
          </w:p>
        </w:tc>
      </w:tr>
      <w:tr>
        <w:tc>
          <w:tcPr>
            <w:tcW w:type="dxa" w:w="1344"/>
            <w:vAlign w:val="center"/>
          </w:tcPr>
          <w:p>
            <w:pPr>
              <w:spacing w:before="0" w:after="0" w:line="264" w:lineRule="auto"/>
            </w:pPr>
            <w:r/>
            <w:r>
              <w:rPr>
                <w:rFonts w:ascii="Times New Roman" w:hAnsi="Times New Roman"/>
                <w:b w:val="0"/>
                <w:i w:val="0"/>
                <w:sz w:val="20"/>
              </w:rPr>
              <w:t>NRI 12 mo (JLCM vs day-14 log</w:t>
            </w:r>
            <w:r>
              <w:rPr>
                <w:rFonts w:ascii="Times New Roman" w:hAnsi="Times New Roman"/>
                <w:b w:val="0"/>
                <w:i w:val="0"/>
                <w:sz w:val="20"/>
                <w:vertAlign w:val="subscript"/>
              </w:rPr>
              <w:t>10</w:t>
            </w:r>
            <w:r>
              <w:rPr>
                <w:rFonts w:ascii="Times New Roman" w:hAnsi="Times New Roman"/>
                <w:b w:val="0"/>
                <w:i w:val="0"/>
                <w:sz w:val="20"/>
              </w:rPr>
              <w:t xml:space="preserve"> hEG continuous)</w:t>
            </w:r>
          </w:p>
        </w:tc>
        <w:tc>
          <w:tcPr>
            <w:tcW w:type="dxa" w:w="1344"/>
            <w:vAlign w:val="center"/>
          </w:tcPr>
          <w:p>
            <w:pPr>
              <w:spacing w:before="0" w:after="0" w:line="264" w:lineRule="auto"/>
            </w:pPr>
            <w:r/>
            <w:r>
              <w:rPr>
                <w:rFonts w:ascii="Times New Roman" w:hAnsi="Times New Roman"/>
                <w:b w:val="0"/>
                <w:i w:val="0"/>
                <w:sz w:val="20"/>
              </w:rPr>
              <w:t>ALYCANTE</w:t>
            </w:r>
          </w:p>
        </w:tc>
        <w:tc>
          <w:tcPr>
            <w:tcW w:type="dxa" w:w="1344"/>
            <w:vAlign w:val="center"/>
          </w:tcPr>
          <w:p>
            <w:pPr>
              <w:spacing w:before="0" w:after="0" w:line="264" w:lineRule="auto"/>
            </w:pPr>
            <w:r/>
            <w:r>
              <w:rPr>
                <w:rFonts w:ascii="Times New Roman" w:hAnsi="Times New Roman"/>
                <w:b w:val="0"/>
                <w:i w:val="0"/>
                <w:sz w:val="20"/>
              </w:rPr>
              <w:t>44</w:t>
            </w:r>
          </w:p>
        </w:tc>
        <w:tc>
          <w:tcPr>
            <w:tcW w:type="dxa" w:w="1344"/>
            <w:vAlign w:val="center"/>
          </w:tcPr>
          <w:p>
            <w:pPr>
              <w:spacing w:before="0" w:after="0" w:line="264" w:lineRule="auto"/>
            </w:pPr>
            <w:r/>
            <w:r>
              <w:rPr>
                <w:rFonts w:ascii="Times New Roman" w:hAnsi="Times New Roman"/>
                <w:b w:val="0"/>
                <w:i w:val="0"/>
                <w:sz w:val="20"/>
              </w:rPr>
              <w:t>—</w:t>
            </w:r>
          </w:p>
        </w:tc>
        <w:tc>
          <w:tcPr>
            <w:tcW w:type="dxa" w:w="1344"/>
            <w:vAlign w:val="center"/>
          </w:tcPr>
          <w:p>
            <w:pPr>
              <w:spacing w:before="0" w:after="0" w:line="264" w:lineRule="auto"/>
            </w:pPr>
            <w:r/>
            <w:r>
              <w:rPr>
                <w:rFonts w:ascii="Times New Roman" w:hAnsi="Times New Roman"/>
                <w:b w:val="0"/>
                <w:i w:val="0"/>
                <w:sz w:val="20"/>
              </w:rPr>
              <w:t>+200% (theoretical max)</w:t>
            </w:r>
            <w:r>
              <w:rPr>
                <w:rFonts w:ascii="Times New Roman" w:hAnsi="Times New Roman"/>
                <w:b w:val="0"/>
                <w:i w:val="0"/>
                <w:sz w:val="20"/>
                <w:vertAlign w:val="superscript"/>
              </w:rPr>
              <w:t>i</w:t>
            </w:r>
          </w:p>
        </w:tc>
        <w:tc>
          <w:tcPr>
            <w:tcW w:type="dxa" w:w="1344"/>
            <w:vAlign w:val="center"/>
          </w:tcPr>
          <w:p>
            <w:pPr>
              <w:spacing w:before="0" w:after="0" w:line="264" w:lineRule="auto"/>
            </w:pPr>
            <w:r/>
            <w:r>
              <w:rPr>
                <w:rFonts w:ascii="Times New Roman" w:hAnsi="Times New Roman"/>
                <w:b w:val="0"/>
                <w:i w:val="0"/>
                <w:sz w:val="20"/>
              </w:rPr>
              <w:t>—</w:t>
            </w:r>
          </w:p>
        </w:tc>
        <w:tc>
          <w:tcPr>
            <w:tcW w:type="dxa" w:w="1344"/>
            <w:vAlign w:val="center"/>
          </w:tcPr>
          <w:p>
            <w:pPr>
              <w:spacing w:before="0" w:after="0" w:line="264" w:lineRule="auto"/>
            </w:pPr>
            <w:r/>
            <w:r>
              <w:rPr>
                <w:rFonts w:ascii="Times New Roman" w:hAnsi="Times New Roman"/>
                <w:b w:val="0"/>
                <w:i w:val="0"/>
                <w:sz w:val="20"/>
              </w:rPr>
              <w:t>—</w:t>
            </w:r>
          </w:p>
        </w:tc>
      </w:tr>
      <w:tr>
        <w:tc>
          <w:tcPr>
            <w:tcW w:type="dxa" w:w="1344"/>
            <w:vAlign w:val="center"/>
          </w:tcPr>
          <w:p>
            <w:pPr>
              <w:spacing w:before="0" w:after="0" w:line="264" w:lineRule="auto"/>
            </w:pPr>
            <w:r/>
            <w:r>
              <w:rPr>
                <w:rFonts w:ascii="Times New Roman" w:hAnsi="Times New Roman"/>
                <w:b w:val="0"/>
                <w:i w:val="0"/>
                <w:sz w:val="20"/>
              </w:rPr>
              <w:t>NRI 12 mo (JLCM vs Δlog</w:t>
            </w:r>
            <w:r>
              <w:rPr>
                <w:rFonts w:ascii="Times New Roman" w:hAnsi="Times New Roman"/>
                <w:b w:val="0"/>
                <w:i w:val="0"/>
                <w:sz w:val="20"/>
                <w:vertAlign w:val="subscript"/>
              </w:rPr>
              <w:t>10</w:t>
            </w:r>
            <w:r>
              <w:rPr>
                <w:rFonts w:ascii="Times New Roman" w:hAnsi="Times New Roman"/>
                <w:b w:val="0"/>
                <w:i w:val="0"/>
                <w:sz w:val="20"/>
              </w:rPr>
              <w:t xml:space="preserve"> continuous)</w:t>
            </w:r>
          </w:p>
        </w:tc>
        <w:tc>
          <w:tcPr>
            <w:tcW w:type="dxa" w:w="1344"/>
            <w:vAlign w:val="center"/>
          </w:tcPr>
          <w:p>
            <w:pPr>
              <w:spacing w:before="0" w:after="0" w:line="264" w:lineRule="auto"/>
            </w:pPr>
            <w:r/>
            <w:r>
              <w:rPr>
                <w:rFonts w:ascii="Times New Roman" w:hAnsi="Times New Roman"/>
                <w:b w:val="0"/>
                <w:i w:val="0"/>
                <w:sz w:val="20"/>
              </w:rPr>
              <w:t>ALYCANTE</w:t>
            </w:r>
          </w:p>
        </w:tc>
        <w:tc>
          <w:tcPr>
            <w:tcW w:type="dxa" w:w="1344"/>
            <w:vAlign w:val="center"/>
          </w:tcPr>
          <w:p>
            <w:pPr>
              <w:spacing w:before="0" w:after="0" w:line="264" w:lineRule="auto"/>
            </w:pPr>
            <w:r/>
            <w:r>
              <w:rPr>
                <w:rFonts w:ascii="Times New Roman" w:hAnsi="Times New Roman"/>
                <w:b w:val="0"/>
                <w:i w:val="0"/>
                <w:sz w:val="20"/>
              </w:rPr>
              <w:t>44</w:t>
            </w:r>
          </w:p>
        </w:tc>
        <w:tc>
          <w:tcPr>
            <w:tcW w:type="dxa" w:w="1344"/>
            <w:vAlign w:val="center"/>
          </w:tcPr>
          <w:p>
            <w:pPr>
              <w:spacing w:before="0" w:after="0" w:line="264" w:lineRule="auto"/>
            </w:pPr>
            <w:r/>
            <w:r>
              <w:rPr>
                <w:rFonts w:ascii="Times New Roman" w:hAnsi="Times New Roman"/>
                <w:b w:val="0"/>
                <w:i w:val="0"/>
                <w:sz w:val="20"/>
              </w:rPr>
              <w:t>—</w:t>
            </w:r>
          </w:p>
        </w:tc>
        <w:tc>
          <w:tcPr>
            <w:tcW w:type="dxa" w:w="1344"/>
            <w:vAlign w:val="center"/>
          </w:tcPr>
          <w:p>
            <w:pPr>
              <w:spacing w:before="0" w:after="0" w:line="264" w:lineRule="auto"/>
            </w:pPr>
            <w:r/>
            <w:r>
              <w:rPr>
                <w:rFonts w:ascii="Times New Roman" w:hAnsi="Times New Roman"/>
                <w:b w:val="0"/>
                <w:i w:val="0"/>
                <w:sz w:val="20"/>
              </w:rPr>
              <w:t>+200% (theoretical max)</w:t>
            </w:r>
            <w:r>
              <w:rPr>
                <w:rFonts w:ascii="Times New Roman" w:hAnsi="Times New Roman"/>
                <w:b w:val="0"/>
                <w:i w:val="0"/>
                <w:sz w:val="20"/>
                <w:vertAlign w:val="superscript"/>
              </w:rPr>
              <w:t>i</w:t>
            </w:r>
          </w:p>
        </w:tc>
        <w:tc>
          <w:tcPr>
            <w:tcW w:type="dxa" w:w="1344"/>
            <w:vAlign w:val="center"/>
          </w:tcPr>
          <w:p>
            <w:pPr>
              <w:spacing w:before="0" w:after="0" w:line="264" w:lineRule="auto"/>
            </w:pPr>
            <w:r/>
            <w:r>
              <w:rPr>
                <w:rFonts w:ascii="Times New Roman" w:hAnsi="Times New Roman"/>
                <w:b w:val="0"/>
                <w:i w:val="0"/>
                <w:sz w:val="20"/>
              </w:rPr>
              <w:t>—</w:t>
            </w:r>
          </w:p>
        </w:tc>
        <w:tc>
          <w:tcPr>
            <w:tcW w:type="dxa" w:w="1344"/>
            <w:vAlign w:val="center"/>
          </w:tcPr>
          <w:p>
            <w:pPr>
              <w:spacing w:before="0" w:after="0" w:line="264" w:lineRule="auto"/>
            </w:pPr>
            <w:r/>
            <w:r>
              <w:rPr>
                <w:rFonts w:ascii="Times New Roman" w:hAnsi="Times New Roman"/>
                <w:b w:val="0"/>
                <w:i w:val="0"/>
                <w:sz w:val="20"/>
              </w:rPr>
              <w:t>—</w:t>
            </w:r>
          </w:p>
        </w:tc>
      </w:tr>
      <w:tr>
        <w:tc>
          <w:tcPr>
            <w:tcW w:type="dxa" w:w="1344"/>
            <w:vAlign w:val="center"/>
          </w:tcPr>
          <w:p>
            <w:pPr>
              <w:spacing w:before="0" w:after="0" w:line="264" w:lineRule="auto"/>
            </w:pPr>
            <w:r/>
            <w:r>
              <w:rPr>
                <w:rFonts w:ascii="Times New Roman" w:hAnsi="Times New Roman"/>
                <w:b w:val="0"/>
                <w:i w:val="0"/>
                <w:sz w:val="20"/>
              </w:rPr>
              <w:t>NRI 12 mo (bi-marker ctDNA+MTV vs ctDNA only)</w:t>
            </w:r>
          </w:p>
        </w:tc>
        <w:tc>
          <w:tcPr>
            <w:tcW w:type="dxa" w:w="1344"/>
            <w:vAlign w:val="center"/>
          </w:tcPr>
          <w:p>
            <w:pPr>
              <w:spacing w:before="0" w:after="0" w:line="264" w:lineRule="auto"/>
            </w:pPr>
            <w:r/>
            <w:r>
              <w:rPr>
                <w:rFonts w:ascii="Times New Roman" w:hAnsi="Times New Roman"/>
                <w:b w:val="0"/>
                <w:i w:val="0"/>
                <w:sz w:val="20"/>
              </w:rPr>
              <w:t>ALYCANTE</w:t>
            </w:r>
          </w:p>
        </w:tc>
        <w:tc>
          <w:tcPr>
            <w:tcW w:type="dxa" w:w="1344"/>
            <w:vAlign w:val="center"/>
          </w:tcPr>
          <w:p>
            <w:pPr>
              <w:spacing w:before="0" w:after="0" w:line="264" w:lineRule="auto"/>
            </w:pPr>
            <w:r/>
            <w:r>
              <w:rPr>
                <w:rFonts w:ascii="Times New Roman" w:hAnsi="Times New Roman"/>
                <w:b w:val="0"/>
                <w:i w:val="0"/>
                <w:sz w:val="20"/>
              </w:rPr>
              <w:t>39</w:t>
            </w:r>
          </w:p>
        </w:tc>
        <w:tc>
          <w:tcPr>
            <w:tcW w:type="dxa" w:w="1344"/>
            <w:vAlign w:val="center"/>
          </w:tcPr>
          <w:p>
            <w:pPr>
              <w:spacing w:before="0" w:after="0" w:line="264" w:lineRule="auto"/>
            </w:pPr>
            <w:r/>
            <w:r>
              <w:rPr>
                <w:rFonts w:ascii="Times New Roman" w:hAnsi="Times New Roman"/>
                <w:b w:val="0"/>
                <w:i w:val="0"/>
                <w:sz w:val="20"/>
              </w:rPr>
              <w:t>—</w:t>
            </w:r>
          </w:p>
        </w:tc>
        <w:tc>
          <w:tcPr>
            <w:tcW w:type="dxa" w:w="1344"/>
            <w:vAlign w:val="center"/>
          </w:tcPr>
          <w:p>
            <w:pPr>
              <w:spacing w:before="0" w:after="0" w:line="264" w:lineRule="auto"/>
            </w:pPr>
            <w:r/>
            <w:r>
              <w:rPr>
                <w:rFonts w:ascii="Times New Roman" w:hAnsi="Times New Roman"/>
                <w:b w:val="0"/>
                <w:i w:val="0"/>
                <w:sz w:val="20"/>
              </w:rPr>
              <w:t>−7.9%</w:t>
            </w:r>
          </w:p>
        </w:tc>
        <w:tc>
          <w:tcPr>
            <w:tcW w:type="dxa" w:w="1344"/>
            <w:vAlign w:val="center"/>
          </w:tcPr>
          <w:p>
            <w:pPr>
              <w:spacing w:before="0" w:after="0" w:line="264" w:lineRule="auto"/>
            </w:pPr>
            <w:r/>
            <w:r>
              <w:rPr>
                <w:rFonts w:ascii="Times New Roman" w:hAnsi="Times New Roman"/>
                <w:b w:val="0"/>
                <w:i w:val="0"/>
                <w:sz w:val="20"/>
              </w:rPr>
              <w:t>—</w:t>
            </w:r>
          </w:p>
        </w:tc>
        <w:tc>
          <w:tcPr>
            <w:tcW w:type="dxa" w:w="1344"/>
            <w:vAlign w:val="center"/>
          </w:tcPr>
          <w:p>
            <w:pPr>
              <w:spacing w:before="0" w:after="0" w:line="264" w:lineRule="auto"/>
            </w:pPr>
            <w:r/>
            <w:r>
              <w:rPr>
                <w:rFonts w:ascii="Times New Roman" w:hAnsi="Times New Roman"/>
                <w:b w:val="0"/>
                <w:i w:val="0"/>
                <w:sz w:val="20"/>
              </w:rPr>
              <w:t>—</w:t>
            </w:r>
          </w:p>
        </w:tc>
      </w:tr>
      <w:tr>
        <w:tc>
          <w:tcPr>
            <w:tcW w:type="dxa" w:w="1344"/>
            <w:vAlign w:val="center"/>
          </w:tcPr>
          <w:p>
            <w:pPr>
              <w:spacing w:before="0" w:after="0" w:line="264" w:lineRule="auto"/>
            </w:pPr>
            <w:r/>
            <w:r>
              <w:rPr>
                <w:rFonts w:ascii="Times New Roman" w:hAnsi="Times New Roman"/>
                <w:b w:val="0"/>
                <w:i w:val="0"/>
                <w:sz w:val="20"/>
              </w:rPr>
              <w:t>NRI 12 mo (JLCM D14 vs CMR M3)</w:t>
            </w:r>
          </w:p>
        </w:tc>
        <w:tc>
          <w:tcPr>
            <w:tcW w:type="dxa" w:w="1344"/>
            <w:vAlign w:val="center"/>
          </w:tcPr>
          <w:p>
            <w:pPr>
              <w:spacing w:before="0" w:after="0" w:line="264" w:lineRule="auto"/>
            </w:pPr>
            <w:r/>
            <w:r>
              <w:rPr>
                <w:rFonts w:ascii="Times New Roman" w:hAnsi="Times New Roman"/>
                <w:b w:val="0"/>
                <w:i w:val="0"/>
                <w:sz w:val="20"/>
              </w:rPr>
              <w:t>ALYCANTE</w:t>
            </w:r>
          </w:p>
        </w:tc>
        <w:tc>
          <w:tcPr>
            <w:tcW w:type="dxa" w:w="1344"/>
            <w:vAlign w:val="center"/>
          </w:tcPr>
          <w:p>
            <w:pPr>
              <w:spacing w:before="0" w:after="0" w:line="264" w:lineRule="auto"/>
            </w:pPr>
            <w:r/>
            <w:r>
              <w:rPr>
                <w:rFonts w:ascii="Times New Roman" w:hAnsi="Times New Roman"/>
                <w:b w:val="0"/>
                <w:i w:val="0"/>
                <w:sz w:val="20"/>
              </w:rPr>
              <w:t>39</w:t>
            </w:r>
          </w:p>
        </w:tc>
        <w:tc>
          <w:tcPr>
            <w:tcW w:type="dxa" w:w="1344"/>
            <w:vAlign w:val="center"/>
          </w:tcPr>
          <w:p>
            <w:pPr>
              <w:spacing w:before="0" w:after="0" w:line="264" w:lineRule="auto"/>
            </w:pPr>
            <w:r/>
            <w:r>
              <w:rPr>
                <w:rFonts w:ascii="Times New Roman" w:hAnsi="Times New Roman"/>
                <w:b w:val="0"/>
                <w:i w:val="0"/>
                <w:sz w:val="20"/>
              </w:rPr>
              <w:t>—</w:t>
            </w:r>
          </w:p>
        </w:tc>
        <w:tc>
          <w:tcPr>
            <w:tcW w:type="dxa" w:w="1344"/>
            <w:vAlign w:val="center"/>
          </w:tcPr>
          <w:p>
            <w:pPr>
              <w:spacing w:before="0" w:after="0" w:line="264" w:lineRule="auto"/>
            </w:pPr>
            <w:r/>
            <w:r>
              <w:rPr>
                <w:rFonts w:ascii="Times New Roman" w:hAnsi="Times New Roman"/>
                <w:b w:val="0"/>
                <w:i w:val="0"/>
                <w:sz w:val="20"/>
              </w:rPr>
              <w:t>+59%</w:t>
            </w:r>
          </w:p>
        </w:tc>
        <w:tc>
          <w:tcPr>
            <w:tcW w:type="dxa" w:w="1344"/>
            <w:vAlign w:val="center"/>
          </w:tcPr>
          <w:p>
            <w:pPr>
              <w:spacing w:before="0" w:after="0" w:line="264" w:lineRule="auto"/>
            </w:pPr>
            <w:r/>
            <w:r>
              <w:rPr>
                <w:rFonts w:ascii="Times New Roman" w:hAnsi="Times New Roman"/>
                <w:b w:val="0"/>
                <w:i w:val="0"/>
                <w:sz w:val="20"/>
              </w:rPr>
              <w:t>—</w:t>
            </w:r>
          </w:p>
        </w:tc>
        <w:tc>
          <w:tcPr>
            <w:tcW w:type="dxa" w:w="1344"/>
            <w:vAlign w:val="center"/>
          </w:tcPr>
          <w:p>
            <w:pPr>
              <w:spacing w:before="0" w:after="0" w:line="264" w:lineRule="auto"/>
            </w:pPr>
            <w:r/>
            <w:r>
              <w:rPr>
                <w:rFonts w:ascii="Times New Roman" w:hAnsi="Times New Roman"/>
                <w:b w:val="0"/>
                <w:i w:val="0"/>
                <w:sz w:val="20"/>
              </w:rPr>
              <w:t>—</w:t>
            </w:r>
          </w:p>
        </w:tc>
      </w:tr>
    </w:tbl>
    <w:p>
      <w:pPr>
        <w:spacing w:after="120"/>
      </w:pPr>
    </w:p>
    <w:p>
      <w:pPr>
        <w:spacing w:before="0" w:after="120" w:line="480" w:lineRule="auto"/>
        <w:jc w:val="both"/>
      </w:pPr>
      <w:r>
        <w:rPr>
          <w:rFonts w:ascii="Times New Roman" w:hAnsi="Times New Roman"/>
          <w:b w:val="0"/>
          <w:i w:val="0"/>
          <w:sz w:val="24"/>
          <w:vertAlign w:val="superscript"/>
        </w:rPr>
        <w:t>a</w:t>
      </w:r>
      <w:r>
        <w:rPr>
          <w:rFonts w:ascii="Times New Roman" w:hAnsi="Times New Roman"/>
          <w:b w:val="0"/>
          <w:i w:val="0"/>
          <w:sz w:val="24"/>
        </w:rPr>
        <w:t xml:space="preserve"> 1000-iteration percentile bootstrap CIs. </w:t>
      </w:r>
      <w:r>
        <w:rPr>
          <w:rFonts w:ascii="Times New Roman" w:hAnsi="Times New Roman"/>
          <w:b w:val="0"/>
          <w:i w:val="0"/>
          <w:sz w:val="24"/>
          <w:vertAlign w:val="superscript"/>
        </w:rPr>
        <w:t>b</w:t>
      </w:r>
      <w:r>
        <w:rPr>
          <w:rFonts w:ascii="Times New Roman" w:hAnsi="Times New Roman"/>
          <w:b w:val="0"/>
          <w:i w:val="0"/>
          <w:sz w:val="24"/>
        </w:rPr>
        <w:t xml:space="preserve"> Estimable as a finite point only under L₂-penalized Cox (lifelines penalizer = 0.1); unpenalized estimate diverges from quasi-complete separation; Firth-corrected estimate in supplemental Table S19. </w:t>
      </w:r>
      <w:r>
        <w:rPr>
          <w:rFonts w:ascii="Times New Roman" w:hAnsi="Times New Roman"/>
          <w:b w:val="0"/>
          <w:i w:val="0"/>
          <w:sz w:val="24"/>
          <w:vertAlign w:val="superscript"/>
        </w:rPr>
        <w:t>c</w:t>
      </w:r>
      <w:r>
        <w:rPr>
          <w:rFonts w:ascii="Times New Roman" w:hAnsi="Times New Roman"/>
          <w:b w:val="0"/>
          <w:i w:val="0"/>
          <w:sz w:val="24"/>
        </w:rPr>
        <w:t xml:space="preserve"> Primary discrimination metric: .632+ bootstrap-corrected univariable C-index with negligible optimism (−0.001 EFS, −0.003 OS). </w:t>
      </w:r>
      <w:r>
        <w:rPr>
          <w:rFonts w:ascii="Times New Roman" w:hAnsi="Times New Roman"/>
          <w:b w:val="0"/>
          <w:i w:val="0"/>
          <w:sz w:val="24"/>
          <w:vertAlign w:val="superscript"/>
        </w:rPr>
        <w:t>d</w:t>
      </w:r>
      <w:r>
        <w:rPr>
          <w:rFonts w:ascii="Times New Roman" w:hAnsi="Times New Roman"/>
          <w:b w:val="0"/>
          <w:i w:val="0"/>
          <w:sz w:val="24"/>
        </w:rPr>
        <w:t xml:space="preserve"> Apparent bivariable C-index. </w:t>
      </w:r>
      <w:r>
        <w:rPr>
          <w:rFonts w:ascii="Times New Roman" w:hAnsi="Times New Roman"/>
          <w:b w:val="0"/>
          <w:i w:val="0"/>
          <w:sz w:val="24"/>
          <w:vertAlign w:val="superscript"/>
        </w:rPr>
        <w:t>e</w:t>
      </w:r>
      <w:r>
        <w:rPr>
          <w:rFonts w:ascii="Times New Roman" w:hAnsi="Times New Roman"/>
          <w:b w:val="0"/>
          <w:i w:val="0"/>
          <w:sz w:val="24"/>
        </w:rPr>
        <w:t xml:space="preserve"> Apparent multivariable C-index; .632+ correction reveals severe optimism (+0.31 EFS, +0.28 OS); not interpreted as generalizable. </w:t>
      </w:r>
      <w:r>
        <w:rPr>
          <w:rFonts w:ascii="Times New Roman" w:hAnsi="Times New Roman"/>
          <w:b w:val="0"/>
          <w:i w:val="0"/>
          <w:sz w:val="24"/>
          <w:vertAlign w:val="superscript"/>
        </w:rPr>
        <w:t>f</w:t>
      </w:r>
      <w:r>
        <w:rPr>
          <w:rFonts w:ascii="Times New Roman" w:hAnsi="Times New Roman"/>
          <w:b w:val="0"/>
          <w:i w:val="0"/>
          <w:sz w:val="24"/>
        </w:rPr>
        <w:t xml:space="preserve"> Single-center retrospective real-world cohort; n = 18 classifiable; CAR-T products: axi-cel (10), liso-cel (7), tisa-cel (1); confirmatory not definitive. </w:t>
      </w:r>
      <w:r>
        <w:rPr>
          <w:rFonts w:ascii="Times New Roman" w:hAnsi="Times New Roman"/>
          <w:b w:val="0"/>
          <w:i w:val="0"/>
          <w:sz w:val="24"/>
          <w:vertAlign w:val="superscript"/>
        </w:rPr>
        <w:t>g</w:t>
      </w:r>
      <w:r>
        <w:rPr>
          <w:rFonts w:ascii="Times New Roman" w:hAnsi="Times New Roman"/>
          <w:b w:val="0"/>
          <w:i w:val="0"/>
          <w:sz w:val="24"/>
        </w:rPr>
        <w:t xml:space="preserve"> Not estimable (zero deaths in low-risk). </w:t>
      </w:r>
      <w:r>
        <w:rPr>
          <w:rFonts w:ascii="Times New Roman" w:hAnsi="Times New Roman"/>
          <w:b w:val="0"/>
          <w:i w:val="0"/>
          <w:sz w:val="24"/>
          <w:vertAlign w:val="superscript"/>
        </w:rPr>
        <w:t>h</w:t>
      </w:r>
      <w:r>
        <w:rPr>
          <w:rFonts w:ascii="Times New Roman" w:hAnsi="Times New Roman"/>
          <w:b w:val="0"/>
          <w:i w:val="0"/>
          <w:sz w:val="24"/>
        </w:rPr>
        <w:t xml:space="preserve"> Frank-style binary classifier (detectable ctDNA at day 28; Frank et al. JCO 2021</w:t>
      </w:r>
      <w:r>
        <w:rPr>
          <w:rFonts w:ascii="Times New Roman" w:hAnsi="Times New Roman"/>
          <w:b w:val="0"/>
          <w:i w:val="0"/>
          <w:sz w:val="24"/>
          <w:vertAlign w:val="superscript"/>
        </w:rPr>
        <w:t>11</w:t>
      </w:r>
      <w:r>
        <w:rPr>
          <w:rFonts w:ascii="Times New Roman" w:hAnsi="Times New Roman"/>
          <w:b w:val="0"/>
          <w:i w:val="0"/>
          <w:sz w:val="24"/>
        </w:rPr>
        <w:t xml:space="preserve">) refitted in our cohort; supplemental Table S18. </w:t>
      </w:r>
      <w:r>
        <w:rPr>
          <w:rFonts w:ascii="Times New Roman" w:hAnsi="Times New Roman"/>
          <w:b w:val="0"/>
          <w:i w:val="0"/>
          <w:sz w:val="24"/>
          <w:vertAlign w:val="superscript"/>
        </w:rPr>
        <w:t>i</w:t>
      </w:r>
      <w:r>
        <w:rPr>
          <w:rFonts w:ascii="Times New Roman" w:hAnsi="Times New Roman"/>
          <w:b w:val="0"/>
          <w:i w:val="0"/>
          <w:sz w:val="24"/>
        </w:rPr>
        <w:t xml:space="preserve"> Both continuous benchmarks misclassify all 22 EFS events of the high-risk class at the 12-month horizon; the JLCM classifies them correctly. NRI reaching its theoretical maximum reflects the perfect class separation in this cohort and is not a calibrated improvement metric; it should not be interpreted as a generalizable prospective benefit. </w:t>
      </w:r>
      <w:r>
        <w:rPr>
          <w:rFonts w:ascii="Times New Roman" w:hAnsi="Times New Roman"/>
          <w:b w:val="0"/>
          <w:i w:val="0"/>
          <w:sz w:val="24"/>
          <w:vertAlign w:val="superscript"/>
        </w:rPr>
        <w:t>j</w:t>
      </w:r>
      <w:r>
        <w:rPr>
          <w:rFonts w:ascii="Times New Roman" w:hAnsi="Times New Roman"/>
          <w:b w:val="0"/>
          <w:i w:val="0"/>
          <w:sz w:val="24"/>
        </w:rPr>
        <w:t xml:space="preserve"> JLCM-MTV univariate HRs are reported on the n = 57 MTV-evaluable cohort; on the n = 44 intersection cohort (patients also classifiable by ctDNA-JLCM), MTV-JLCM loses prognostic significance (HR 0.88; </w:t>
      </w:r>
      <w:r>
        <w:rPr>
          <w:rFonts w:ascii="Times New Roman" w:hAnsi="Times New Roman"/>
          <w:i/>
          <w:sz w:val="24"/>
        </w:rPr>
        <w:t>P</w:t>
      </w:r>
      <w:r>
        <w:rPr>
          <w:rFonts w:ascii="Times New Roman" w:hAnsi="Times New Roman"/>
          <w:b w:val="0"/>
          <w:i w:val="0"/>
          <w:sz w:val="24"/>
        </w:rPr>
        <w:t xml:space="preserve"> = .80). See Figure 5 legend for full discussion. C-index hierarchy at EFS endpoint (univariable, day-14; supplemental Table S16): </w:t>
      </w:r>
      <w:r>
        <w:rPr>
          <w:rFonts w:ascii="Times New Roman" w:hAnsi="Times New Roman"/>
          <w:b/>
          <w:sz w:val="24"/>
        </w:rPr>
        <w:t>JLCM-ctDNA, 0.81 &gt; Frank-style D28, 0.64 ≈ JLCM-MTV, 0.63 ≈ Δlog~10~ continuous, 0.62 &gt; day-14 log~10~ hEG continuous, 0.59 &gt; Deauville month 3, 0.56 ≈ JLCM-Deauville, 0.56 &gt; Deauville day 14, 0.51.</w:t>
      </w:r>
    </w:p>
    <w:p>
      <w:pPr>
        <w:spacing w:after="120" w:line="240" w:lineRule="auto"/>
      </w:pPr>
    </w:p>
    <w:p>
      <w:pPr>
        <w:keepNext/>
        <w:spacing w:before="280" w:after="160" w:line="288" w:lineRule="auto"/>
      </w:pPr>
      <w:r>
        <w:rPr>
          <w:rFonts w:ascii="Times New Roman" w:hAnsi="Times New Roman"/>
          <w:b/>
          <w:sz w:val="28"/>
        </w:rPr>
        <w:t>Figure legends</w:t>
      </w:r>
    </w:p>
    <w:p>
      <w:pPr>
        <w:keepNext/>
        <w:spacing w:before="200" w:after="120" w:line="288" w:lineRule="auto"/>
      </w:pPr>
      <w:r>
        <w:rPr>
          <w:rFonts w:ascii="Times New Roman" w:hAnsi="Times New Roman"/>
          <w:b/>
          <w:i/>
          <w:sz w:val="26"/>
        </w:rPr>
        <w:t>Figure 1. JLCM identifies two distinct ctDNA trajectories in ALYCANTE (n = 57 training set)</w:t>
      </w:r>
    </w:p>
    <w:p>
      <w:pPr>
        <w:spacing w:before="160" w:after="40" w:line="240" w:lineRule="auto"/>
        <w:jc w:val="center"/>
      </w:pPr>
      <w:r>
        <w:drawing>
          <wp:inline xmlns:a="http://schemas.openxmlformats.org/drawingml/2006/main" xmlns:pic="http://schemas.openxmlformats.org/drawingml/2006/picture">
            <wp:extent cx="5400000" cy="6347832"/>
            <wp:docPr id="1" name="Picture 1"/>
            <wp:cNvGraphicFramePr>
              <a:graphicFrameLocks noChangeAspect="1"/>
            </wp:cNvGraphicFramePr>
            <a:graphic>
              <a:graphicData uri="http://schemas.openxmlformats.org/drawingml/2006/picture">
                <pic:pic>
                  <pic:nvPicPr>
                    <pic:cNvPr id="0" name="Fig1_trajectories_combined.png"/>
                    <pic:cNvPicPr/>
                  </pic:nvPicPr>
                  <pic:blipFill>
                    <a:blip r:embed="rId9"/>
                    <a:stretch>
                      <a:fillRect/>
                    </a:stretch>
                  </pic:blipFill>
                  <pic:spPr>
                    <a:xfrm>
                      <a:off x="0" y="0"/>
                      <a:ext cx="5400000" cy="6347832"/>
                    </a:xfrm>
                    <a:prstGeom prst="rect"/>
                  </pic:spPr>
                </pic:pic>
              </a:graphicData>
            </a:graphic>
          </wp:inline>
        </w:drawing>
      </w:r>
    </w:p>
    <w:p>
      <w:pPr>
        <w:spacing w:before="0" w:after="200" w:line="276" w:lineRule="auto"/>
        <w:jc w:val="center"/>
      </w:pPr>
      <w:r>
        <w:rPr>
          <w:rFonts w:ascii="Times New Roman" w:hAnsi="Times New Roman"/>
          <w:i/>
          <w:color w:val="404040"/>
          <w:sz w:val="20"/>
        </w:rPr>
        <w:t>Figure 1. Theoretical and empirical ctDNA trajectories by JLCM class (n = 57 training set; ng = 2; seed = 123).</w:t>
      </w:r>
    </w:p>
    <w:p>
      <w:pPr>
        <w:spacing w:before="0" w:after="120" w:line="480" w:lineRule="auto"/>
        <w:jc w:val="both"/>
      </w:pPr>
      <w:r>
        <w:rPr>
          <w:rFonts w:ascii="Times New Roman" w:hAnsi="Times New Roman"/>
          <w:b w:val="0"/>
          <w:i w:val="0"/>
          <w:sz w:val="24"/>
        </w:rPr>
        <w:t xml:space="preserve">(A) Theoretical mean trajectories from the 2-class JLCM (R </w:t>
      </w:r>
      <w:r>
        <w:rPr>
          <w:rFonts w:ascii="Consolas" w:hAnsi="Consolas"/>
          <w:sz w:val="21"/>
        </w:rPr>
        <w:t>lcmm</w:t>
      </w:r>
      <w:r>
        <w:rPr>
          <w:rFonts w:ascii="Times New Roman" w:hAnsi="Times New Roman"/>
          <w:b w:val="0"/>
          <w:i w:val="0"/>
          <w:sz w:val="24"/>
        </w:rPr>
        <w:t>; quadratic time, random slope, seed = 123): low-risk (blue, rapid clearance) and high-risk (red, persistent or re-emerging shedding). (B) Observed individual ctDNA trajectories (log</w:t>
      </w:r>
      <w:r>
        <w:rPr>
          <w:rFonts w:ascii="Times New Roman" w:hAnsi="Times New Roman"/>
          <w:b w:val="0"/>
          <w:i w:val="0"/>
          <w:sz w:val="24"/>
          <w:vertAlign w:val="subscript"/>
        </w:rPr>
        <w:t>10</w:t>
      </w:r>
      <w:r>
        <w:rPr>
          <w:rFonts w:ascii="Times New Roman" w:hAnsi="Times New Roman"/>
          <w:b w:val="0"/>
          <w:i w:val="0"/>
          <w:sz w:val="24"/>
        </w:rPr>
        <w:t xml:space="preserve"> hEG) by day-14 JLCM class, stratified by relapse status within 12 and 24 months. Class-number selection by BIC across ng = 1-4 (1271.7, 1254.6, 1263.6, 1273.7) supported ng = 2 (ΔBIC vs ng = 3 = 9.0).</w:t>
      </w:r>
    </w:p>
    <w:p>
      <w:pPr>
        <w:keepNext/>
        <w:spacing w:before="200" w:after="120" w:line="288" w:lineRule="auto"/>
      </w:pPr>
      <w:r>
        <w:rPr>
          <w:rFonts w:ascii="Times New Roman" w:hAnsi="Times New Roman"/>
          <w:b/>
          <w:i/>
          <w:sz w:val="26"/>
        </w:rPr>
        <w:t>Figure 2. Day-14 JLCM-ctDNA class discriminates EFS and OS in ALYCANTE (n = 44 classifiable)</w:t>
      </w:r>
    </w:p>
    <w:p>
      <w:pPr>
        <w:spacing w:before="160" w:after="40" w:line="240" w:lineRule="auto"/>
        <w:jc w:val="center"/>
      </w:pPr>
      <w:r>
        <w:drawing>
          <wp:inline xmlns:a="http://schemas.openxmlformats.org/drawingml/2006/main" xmlns:pic="http://schemas.openxmlformats.org/drawingml/2006/picture">
            <wp:extent cx="5400000" cy="2452941"/>
            <wp:docPr id="2" name="Picture 2"/>
            <wp:cNvGraphicFramePr>
              <a:graphicFrameLocks noChangeAspect="1"/>
            </wp:cNvGraphicFramePr>
            <a:graphic>
              <a:graphicData uri="http://schemas.openxmlformats.org/drawingml/2006/picture">
                <pic:pic>
                  <pic:nvPicPr>
                    <pic:cNvPr id="0" name="Fig2_km_efs_os.png"/>
                    <pic:cNvPicPr/>
                  </pic:nvPicPr>
                  <pic:blipFill>
                    <a:blip r:embed="rId10"/>
                    <a:stretch>
                      <a:fillRect/>
                    </a:stretch>
                  </pic:blipFill>
                  <pic:spPr>
                    <a:xfrm>
                      <a:off x="0" y="0"/>
                      <a:ext cx="5400000" cy="2452941"/>
                    </a:xfrm>
                    <a:prstGeom prst="rect"/>
                  </pic:spPr>
                </pic:pic>
              </a:graphicData>
            </a:graphic>
          </wp:inline>
        </w:drawing>
      </w:r>
    </w:p>
    <w:p>
      <w:pPr>
        <w:spacing w:before="0" w:after="200" w:line="276" w:lineRule="auto"/>
        <w:jc w:val="center"/>
      </w:pPr>
      <w:r>
        <w:rPr>
          <w:rFonts w:ascii="Times New Roman" w:hAnsi="Times New Roman"/>
          <w:i/>
          <w:color w:val="404040"/>
          <w:sz w:val="20"/>
        </w:rPr>
        <w:t>Figure 2. KM curves for EFS (left) and OS (right) anchored at the day-14 landmark.</w:t>
      </w:r>
    </w:p>
    <w:p>
      <w:pPr>
        <w:spacing w:before="0" w:after="120" w:line="480" w:lineRule="auto"/>
        <w:jc w:val="both"/>
      </w:pPr>
      <w:r>
        <w:rPr>
          <w:rFonts w:ascii="Times New Roman" w:hAnsi="Times New Roman"/>
          <w:b w:val="0"/>
          <w:i w:val="0"/>
          <w:sz w:val="24"/>
        </w:rPr>
        <w:t xml:space="preserve">Kaplan–Meier estimates of EFS (left) and OS (right) anchored at the day-14 landmark, by day-14 JLCM class. Log-rank </w:t>
      </w:r>
      <w:r>
        <w:rPr>
          <w:rFonts w:ascii="Times New Roman" w:hAnsi="Times New Roman"/>
          <w:i/>
          <w:sz w:val="24"/>
        </w:rPr>
        <w:t>P</w:t>
      </w:r>
      <w:r>
        <w:rPr>
          <w:rFonts w:ascii="Times New Roman" w:hAnsi="Times New Roman"/>
          <w:b w:val="0"/>
          <w:i w:val="0"/>
          <w:sz w:val="24"/>
        </w:rPr>
        <w:t xml:space="preserve"> &lt; .001 for both endpoints. Bootstrap-corrected univariable C-index: 0.81 (95% CI 0.76-0.86) EFS; 0.79 (0.71-0.87) OS.</w:t>
      </w:r>
    </w:p>
    <w:p>
      <w:pPr>
        <w:keepNext/>
        <w:spacing w:before="200" w:after="120" w:line="288" w:lineRule="auto"/>
      </w:pPr>
      <w:r>
        <w:rPr>
          <w:rFonts w:ascii="Times New Roman" w:hAnsi="Times New Roman"/>
          <w:b/>
          <w:i/>
          <w:sz w:val="26"/>
        </w:rPr>
        <w:t>Figure 3. Multivariable Cox model: day-14 JLCM-ctDNA class is independent of IPI and baseline MTV (n = 44 classifiable)</w:t>
      </w:r>
    </w:p>
    <w:p>
      <w:pPr>
        <w:spacing w:before="160" w:after="40" w:line="240" w:lineRule="auto"/>
        <w:jc w:val="center"/>
      </w:pPr>
      <w:r>
        <w:drawing>
          <wp:inline xmlns:a="http://schemas.openxmlformats.org/drawingml/2006/main" xmlns:pic="http://schemas.openxmlformats.org/drawingml/2006/picture">
            <wp:extent cx="5400000" cy="2313353"/>
            <wp:docPr id="3" name="Picture 3"/>
            <wp:cNvGraphicFramePr>
              <a:graphicFrameLocks noChangeAspect="1"/>
            </wp:cNvGraphicFramePr>
            <a:graphic>
              <a:graphicData uri="http://schemas.openxmlformats.org/drawingml/2006/picture">
                <pic:pic>
                  <pic:nvPicPr>
                    <pic:cNvPr id="0" name="Fig3_forest_multivariate.png"/>
                    <pic:cNvPicPr/>
                  </pic:nvPicPr>
                  <pic:blipFill>
                    <a:blip r:embed="rId11"/>
                    <a:stretch>
                      <a:fillRect/>
                    </a:stretch>
                  </pic:blipFill>
                  <pic:spPr>
                    <a:xfrm>
                      <a:off x="0" y="0"/>
                      <a:ext cx="5400000" cy="2313353"/>
                    </a:xfrm>
                    <a:prstGeom prst="rect"/>
                  </pic:spPr>
                </pic:pic>
              </a:graphicData>
            </a:graphic>
          </wp:inline>
        </w:drawing>
      </w:r>
    </w:p>
    <w:p>
      <w:pPr>
        <w:spacing w:before="0" w:after="200" w:line="276" w:lineRule="auto"/>
        <w:jc w:val="center"/>
      </w:pPr>
      <w:r>
        <w:rPr>
          <w:rFonts w:ascii="Times New Roman" w:hAnsi="Times New Roman"/>
          <w:i/>
          <w:color w:val="404040"/>
          <w:sz w:val="20"/>
        </w:rPr>
        <w:t>Figure 3. Forest plot of the multivariable Cox model adjusting for IPI and log10 baseline MTV.</w:t>
      </w:r>
    </w:p>
    <w:p>
      <w:pPr>
        <w:spacing w:before="0" w:after="120" w:line="480" w:lineRule="auto"/>
        <w:jc w:val="both"/>
      </w:pPr>
      <w:r>
        <w:rPr>
          <w:rFonts w:ascii="Times New Roman" w:hAnsi="Times New Roman"/>
          <w:b w:val="0"/>
          <w:i w:val="0"/>
          <w:sz w:val="24"/>
        </w:rPr>
        <w:t>Forest plot of L₂-penalized multivariable Cox (lifelines penalizer = 0.1) for EFS (left) and OS (right): JLCM class, IPI ≥3, log</w:t>
      </w:r>
      <w:r>
        <w:rPr>
          <w:rFonts w:ascii="Times New Roman" w:hAnsi="Times New Roman"/>
          <w:b w:val="0"/>
          <w:i w:val="0"/>
          <w:sz w:val="24"/>
          <w:vertAlign w:val="subscript"/>
        </w:rPr>
        <w:t>10</w:t>
      </w:r>
      <w:r>
        <w:rPr>
          <w:rFonts w:ascii="Times New Roman" w:hAnsi="Times New Roman"/>
          <w:b w:val="0"/>
          <w:i w:val="0"/>
          <w:sz w:val="24"/>
        </w:rPr>
        <w:t xml:space="preserve"> baseline MTV. n = 44. Day-14 JLCM-ctDNA remained the dominant predictor (adjusted HR EFS 14.9, OS 7.7); IPI ≥3 and log</w:t>
      </w:r>
      <w:r>
        <w:rPr>
          <w:rFonts w:ascii="Times New Roman" w:hAnsi="Times New Roman"/>
          <w:b w:val="0"/>
          <w:i w:val="0"/>
          <w:sz w:val="24"/>
          <w:vertAlign w:val="subscript"/>
        </w:rPr>
        <w:t>10</w:t>
      </w:r>
      <w:r>
        <w:rPr>
          <w:rFonts w:ascii="Times New Roman" w:hAnsi="Times New Roman"/>
          <w:b w:val="0"/>
          <w:i w:val="0"/>
          <w:sz w:val="24"/>
        </w:rPr>
        <w:t xml:space="preserve"> MTV did not reach significance. Apparent multivariable C-index 0.84 EFS / 0.81 OS; .632+ correction reveals severe optimism (+0.31 EFS, +0.28 OS), corrected to 0.52/0.53 — an expected artefact under quasi-complete separation in this sample size. The </w:t>
      </w:r>
      <w:r>
        <w:rPr>
          <w:rFonts w:ascii="Times New Roman" w:hAnsi="Times New Roman"/>
          <w:b/>
          <w:sz w:val="24"/>
        </w:rPr>
        <w:t>primary metric reported throughout is the bootstrap-corrected univariable JLCM-ctDNA C-index (0.81 [95% CI 0.76-0.86] EFS, 0.79 [0.71-0.87] OS; optimism ≈ 0)</w:t>
      </w:r>
      <w:r>
        <w:rPr>
          <w:rFonts w:ascii="Times New Roman" w:hAnsi="Times New Roman"/>
          <w:b w:val="0"/>
          <w:i w:val="0"/>
          <w:sz w:val="24"/>
        </w:rPr>
        <w:t xml:space="preserve">; the multivariable model is presented only as consistent with independence from IPI and MTV. Schoenfeld </w:t>
      </w:r>
      <w:r>
        <w:rPr>
          <w:rFonts w:ascii="Times New Roman" w:hAnsi="Times New Roman"/>
          <w:i/>
          <w:sz w:val="24"/>
        </w:rPr>
        <w:t>P</w:t>
      </w:r>
      <w:r>
        <w:rPr>
          <w:rFonts w:ascii="Times New Roman" w:hAnsi="Times New Roman"/>
          <w:b w:val="0"/>
          <w:i w:val="0"/>
          <w:sz w:val="24"/>
        </w:rPr>
        <w:t xml:space="preserve"> &gt; .20 for all variables.</w:t>
      </w:r>
    </w:p>
    <w:p>
      <w:pPr>
        <w:keepNext/>
        <w:spacing w:before="200" w:after="120" w:line="288" w:lineRule="auto"/>
      </w:pPr>
      <w:r>
        <w:rPr>
          <w:rFonts w:ascii="Times New Roman" w:hAnsi="Times New Roman"/>
          <w:b/>
          <w:i/>
          <w:sz w:val="26"/>
        </w:rPr>
        <w:t>Figure 4. External validation in the Henri-Mondor real-world CAR-T cohort (n = 18 classifiable)</w:t>
      </w:r>
    </w:p>
    <w:p>
      <w:pPr>
        <w:spacing w:before="160" w:after="40" w:line="240" w:lineRule="auto"/>
        <w:jc w:val="center"/>
      </w:pPr>
      <w:r>
        <w:drawing>
          <wp:inline xmlns:a="http://schemas.openxmlformats.org/drawingml/2006/main" xmlns:pic="http://schemas.openxmlformats.org/drawingml/2006/picture">
            <wp:extent cx="5400000" cy="2607009"/>
            <wp:docPr id="4" name="Picture 4"/>
            <wp:cNvGraphicFramePr>
              <a:graphicFrameLocks noChangeAspect="1"/>
            </wp:cNvGraphicFramePr>
            <a:graphic>
              <a:graphicData uri="http://schemas.openxmlformats.org/drawingml/2006/picture">
                <pic:pic>
                  <pic:nvPicPr>
                    <pic:cNvPr id="0" name="Fig4_validation_lea.png"/>
                    <pic:cNvPicPr/>
                  </pic:nvPicPr>
                  <pic:blipFill>
                    <a:blip r:embed="rId12"/>
                    <a:stretch>
                      <a:fillRect/>
                    </a:stretch>
                  </pic:blipFill>
                  <pic:spPr>
                    <a:xfrm>
                      <a:off x="0" y="0"/>
                      <a:ext cx="5400000" cy="2607009"/>
                    </a:xfrm>
                    <a:prstGeom prst="rect"/>
                  </pic:spPr>
                </pic:pic>
              </a:graphicData>
            </a:graphic>
          </wp:inline>
        </w:drawing>
      </w:r>
    </w:p>
    <w:p>
      <w:pPr>
        <w:spacing w:before="0" w:after="200" w:line="276" w:lineRule="auto"/>
        <w:jc w:val="center"/>
      </w:pPr>
      <w:r>
        <w:rPr>
          <w:rFonts w:ascii="Times New Roman" w:hAnsi="Times New Roman"/>
          <w:i/>
          <w:color w:val="404040"/>
          <w:sz w:val="20"/>
        </w:rPr>
        <w:t>Figure 4. KM curves for EFS and OS in the Henri-Mondor retrospective real-world cohort (single-center, AP-HP Créteil) by day-14 JLCM class.</w:t>
      </w:r>
    </w:p>
    <w:p>
      <w:pPr>
        <w:spacing w:before="0" w:after="120" w:line="480" w:lineRule="auto"/>
        <w:jc w:val="both"/>
      </w:pPr>
      <w:r>
        <w:rPr>
          <w:rFonts w:ascii="Times New Roman" w:hAnsi="Times New Roman"/>
          <w:b w:val="0"/>
          <w:i w:val="0"/>
          <w:sz w:val="24"/>
        </w:rPr>
        <w:t xml:space="preserve">Kaplan–Meier estimates of EFS (left) and OS (right) from day 14 in the Henri-Mondor real-world cohort (single-center, retrospective; n = 18 classifiable). Log-rank EFS </w:t>
      </w:r>
      <w:r>
        <w:rPr>
          <w:rFonts w:ascii="Times New Roman" w:hAnsi="Times New Roman"/>
          <w:i/>
          <w:sz w:val="24"/>
        </w:rPr>
        <w:t>P</w:t>
      </w:r>
      <w:r>
        <w:rPr>
          <w:rFonts w:ascii="Times New Roman" w:hAnsi="Times New Roman"/>
          <w:b w:val="0"/>
          <w:i w:val="0"/>
          <w:sz w:val="24"/>
        </w:rPr>
        <w:t xml:space="preserve"> &lt; .001 (HR 8.32; 95% CI 1.98-34.94; standard Cox proportional hazards on n = 18); OS </w:t>
      </w:r>
      <w:r>
        <w:rPr>
          <w:rFonts w:ascii="Times New Roman" w:hAnsi="Times New Roman"/>
          <w:i/>
          <w:sz w:val="24"/>
        </w:rPr>
        <w:t>P</w:t>
      </w:r>
      <w:r>
        <w:rPr>
          <w:rFonts w:ascii="Times New Roman" w:hAnsi="Times New Roman"/>
          <w:b w:val="0"/>
          <w:i w:val="0"/>
          <w:sz w:val="24"/>
        </w:rPr>
        <w:t xml:space="preserve"> = .012 (HR not estimable because of zero deaths in low-risk). Patients received axi-cel (n = 10), liso-cel (n = 7), or tisa-cel (n = 1) in routine practice 2019-2024. The wide EFS HR CI reflects modest sample size; the validation is confirmatory rather than definitive.</w:t>
      </w:r>
    </w:p>
    <w:p>
      <w:pPr>
        <w:keepNext/>
        <w:spacing w:before="200" w:after="120" w:line="288" w:lineRule="auto"/>
      </w:pPr>
      <w:r>
        <w:rPr>
          <w:rFonts w:ascii="Times New Roman" w:hAnsi="Times New Roman"/>
          <w:b/>
          <w:i/>
          <w:sz w:val="26"/>
        </w:rPr>
        <w:t>Figure 5. Day-14 ctDNA-JLCM outperforms day-14 PET-derived classifiers</w:t>
      </w:r>
    </w:p>
    <w:p>
      <w:pPr>
        <w:spacing w:before="160" w:after="40" w:line="240" w:lineRule="auto"/>
        <w:jc w:val="center"/>
      </w:pPr>
      <w:r>
        <w:drawing>
          <wp:inline xmlns:a="http://schemas.openxmlformats.org/drawingml/2006/main" xmlns:pic="http://schemas.openxmlformats.org/drawingml/2006/picture">
            <wp:extent cx="5400000" cy="6351608"/>
            <wp:docPr id="5" name="Picture 5"/>
            <wp:cNvGraphicFramePr>
              <a:graphicFrameLocks noChangeAspect="1"/>
            </wp:cNvGraphicFramePr>
            <a:graphic>
              <a:graphicData uri="http://schemas.openxmlformats.org/drawingml/2006/picture">
                <pic:pic>
                  <pic:nvPicPr>
                    <pic:cNvPr id="0" name="Fig5_ctdna_vs_mtv_combined.png"/>
                    <pic:cNvPicPr/>
                  </pic:nvPicPr>
                  <pic:blipFill>
                    <a:blip r:embed="rId13"/>
                    <a:stretch>
                      <a:fillRect/>
                    </a:stretch>
                  </pic:blipFill>
                  <pic:spPr>
                    <a:xfrm>
                      <a:off x="0" y="0"/>
                      <a:ext cx="5400000" cy="6351608"/>
                    </a:xfrm>
                    <a:prstGeom prst="rect"/>
                  </pic:spPr>
                </pic:pic>
              </a:graphicData>
            </a:graphic>
          </wp:inline>
        </w:drawing>
      </w:r>
    </w:p>
    <w:p>
      <w:pPr>
        <w:spacing w:before="0" w:after="200" w:line="276" w:lineRule="auto"/>
        <w:jc w:val="center"/>
      </w:pPr>
      <w:r>
        <w:rPr>
          <w:rFonts w:ascii="Times New Roman" w:hAnsi="Times New Roman"/>
          <w:i/>
          <w:color w:val="404040"/>
          <w:sz w:val="20"/>
        </w:rPr>
        <w:t>Figure 5. Concordance heatmap and forest plot comparing ctDNA-JLCM with MTV-JLCM at day 14.</w:t>
      </w:r>
    </w:p>
    <w:p>
      <w:pPr>
        <w:spacing w:before="0" w:after="120" w:line="480" w:lineRule="auto"/>
        <w:jc w:val="both"/>
      </w:pPr>
      <w:r>
        <w:rPr>
          <w:rFonts w:ascii="Times New Roman" w:hAnsi="Times New Roman"/>
          <w:b w:val="0"/>
          <w:i w:val="0"/>
          <w:sz w:val="24"/>
        </w:rPr>
        <w:t xml:space="preserve">(A) Concordance heatmap of day-14 JLCM-ctDNA versus JLCM-MTV (n = 44 with both); Cohen κ = 0.32; 66% agreement (this value applies to the ctDNA-vs-MTV comparison; the parallel ctDNA-vs-Deauville-JLCM concordance was 57% with κ = 0.14, supplemental Figure S10). (B) Forest plot of univariable and bi-marker L₂-penalized Cox models for EFS (blue) and OS (red). Only ctDNA-JLCM retained independent prognostic value. Parallel Deauville analyses (JLCM-Deauville, day-14 Deauville ≥4) reach the same conclusion (κ JLCM-ctDNA vs JLCM-Deauville = 0.14). The apparent bivariate OS protective signal for JLCM-Deauville (HR 0.27, </w:t>
      </w:r>
      <w:r>
        <w:rPr>
          <w:rFonts w:ascii="Times New Roman" w:hAnsi="Times New Roman"/>
          <w:i/>
          <w:sz w:val="24"/>
        </w:rPr>
        <w:t>P</w:t>
      </w:r>
      <w:r>
        <w:rPr>
          <w:rFonts w:ascii="Times New Roman" w:hAnsi="Times New Roman"/>
          <w:b w:val="0"/>
          <w:i w:val="0"/>
          <w:sz w:val="24"/>
        </w:rPr>
        <w:t xml:space="preserve"> = .044) is artefactual (supplemental Table S13). Lugano non-CMR coincided patient-by-patient with Deauville ≥4 (supplemental Table S12). A and B reflect the n = 44 intersection cohort with both ctDNA-JLCM and MTV-JLCM classifications. The JLCM-MTV univariate HR of 3.9 reported in Table 2 was estimated on the larger n = 57 MTV-evaluable cohort; on the n = 44 intersection cohort the MTV-JLCM loses prognostic significance after restriction to ctDNA-classifiable patients.</w:t>
      </w:r>
    </w:p>
    <w:p>
      <w:pPr>
        <w:spacing w:after="120" w:line="240" w:lineRule="auto"/>
      </w:pPr>
    </w:p>
    <w:p>
      <w:pPr>
        <w:keepNext/>
        <w:spacing w:before="280" w:after="160" w:line="288" w:lineRule="auto"/>
      </w:pPr>
      <w:r>
        <w:rPr>
          <w:rFonts w:ascii="Times New Roman" w:hAnsi="Times New Roman"/>
          <w:b/>
          <w:sz w:val="28"/>
        </w:rPr>
        <w:t>Authorship statement</w:t>
      </w:r>
    </w:p>
    <w:p>
      <w:pPr>
        <w:spacing w:before="0" w:after="120" w:line="480" w:lineRule="auto"/>
        <w:jc w:val="both"/>
      </w:pPr>
      <w:r>
        <w:rPr>
          <w:rFonts w:ascii="Times New Roman" w:hAnsi="Times New Roman"/>
          <w:b w:val="0"/>
          <w:i w:val="0"/>
          <w:sz w:val="24"/>
        </w:rPr>
        <w:t>A.C. designed the biomarker substudy, performed the JLCM modeling and statistical analyses (including benchmark Cox models, calibration, decision-curve analysis, and external validation), coordinated the Henri-Mondor real-world validation cohort and clinical follow-up, and drafted the manuscript. J.L. contributed to clinical management of patients and critical revision. M.-H.D.-L. heads the biological immunology platform (Hôpital Henri-Mondor, Créteil), oversaw the ctDNA assay validation and the biomarker substudy, and is the corresponding author. R.H. is the principal investigator of ALYCANTE; he supervised the substudy, reviewed the manuscript, and is the senior author. Coauthors performed sample processing and sequencing (K.T., AP-HP biological immunology platform), central PET review (E.I., X.P.-N., P.B.-D., Y.A.T., C.B.), central pathology review (F.L.G., C.L.), and patient management at participating LYSA centers. C.P. provided LYSARC biostatistical support. All authors approved the final version.</w:t>
      </w:r>
    </w:p>
    <w:p>
      <w:pPr>
        <w:keepNext/>
        <w:spacing w:before="280" w:after="160" w:line="288" w:lineRule="auto"/>
      </w:pPr>
      <w:r>
        <w:rPr>
          <w:rFonts w:ascii="Times New Roman" w:hAnsi="Times New Roman"/>
          <w:b/>
          <w:sz w:val="28"/>
        </w:rPr>
        <w:t>Acknowledgments</w:t>
      </w:r>
    </w:p>
    <w:p>
      <w:pPr>
        <w:spacing w:before="0" w:after="120" w:line="480" w:lineRule="auto"/>
        <w:jc w:val="both"/>
      </w:pPr>
      <w:r>
        <w:rPr>
          <w:rFonts w:ascii="Times New Roman" w:hAnsi="Times New Roman"/>
          <w:b w:val="0"/>
          <w:i w:val="0"/>
          <w:sz w:val="24"/>
        </w:rPr>
        <w:t>The authors thank the patients and families of ALYCANTE and of the Henri-Mondor real-world cohort, the LYSA and LYSARC networks, the AP-HP biological immunology platform (Hôpital Henri-Mondor, Créteil), and the Roche Sequencing Solutions team (France). ALYCANTE was sponsored by LYSARC with an academic-industry partnership including Kite, a Gilead Company. The biomarker substudy and the Henri-Mondor cohort received institutional support from AP-HP.</w:t>
      </w:r>
    </w:p>
    <w:p>
      <w:pPr>
        <w:keepNext/>
        <w:spacing w:before="280" w:after="160" w:line="288" w:lineRule="auto"/>
      </w:pPr>
      <w:r>
        <w:rPr>
          <w:rFonts w:ascii="Times New Roman" w:hAnsi="Times New Roman"/>
          <w:b/>
          <w:sz w:val="28"/>
        </w:rPr>
        <w:t>Conflict of interest</w:t>
      </w:r>
    </w:p>
    <w:p>
      <w:pPr>
        <w:spacing w:before="0" w:after="120" w:line="480" w:lineRule="auto"/>
        <w:jc w:val="both"/>
      </w:pPr>
      <w:r>
        <w:rPr>
          <w:rFonts w:ascii="Times New Roman" w:hAnsi="Times New Roman"/>
          <w:b w:val="0"/>
          <w:i w:val="0"/>
          <w:sz w:val="24"/>
        </w:rPr>
        <w:t>R.H. has received honoraria and/or consultancy fees from Kite/Gilead. Coauthor disclosures align with the parent ALYCANTE FA manuscript.</w:t>
      </w:r>
      <w:r>
        <w:rPr>
          <w:rFonts w:ascii="Times New Roman" w:hAnsi="Times New Roman"/>
          <w:b w:val="0"/>
          <w:i w:val="0"/>
          <w:sz w:val="24"/>
          <w:vertAlign w:val="superscript"/>
        </w:rPr>
        <w:t>1</w:t>
      </w:r>
      <w:r>
        <w:rPr>
          <w:rFonts w:ascii="Times New Roman" w:hAnsi="Times New Roman"/>
          <w:b w:val="0"/>
          <w:i w:val="0"/>
          <w:sz w:val="24"/>
        </w:rPr>
        <w:t xml:space="preserve"> A.C. and M.-H.D.-L. declare no relevant conflicts of interest.</w:t>
      </w:r>
    </w:p>
    <w:p>
      <w:pPr>
        <w:spacing w:after="120" w:line="240" w:lineRule="auto"/>
      </w:pPr>
    </w:p>
    <w:p>
      <w:pPr>
        <w:keepNext/>
        <w:spacing w:before="280" w:after="160" w:line="288" w:lineRule="auto"/>
      </w:pPr>
      <w:r>
        <w:rPr>
          <w:rFonts w:ascii="Times New Roman" w:hAnsi="Times New Roman"/>
          <w:b/>
          <w:sz w:val="28"/>
        </w:rPr>
        <w:t>References</w:t>
      </w:r>
    </w:p>
    <w:p>
      <w:pPr>
        <w:pStyle w:val="ListNumber"/>
        <w:spacing w:before="20" w:after="40" w:line="360" w:lineRule="auto"/>
      </w:pPr>
      <w:r>
        <w:rPr>
          <w:rFonts w:ascii="Times New Roman" w:hAnsi="Times New Roman"/>
          <w:b w:val="0"/>
          <w:i w:val="0"/>
          <w:sz w:val="24"/>
        </w:rPr>
        <w:t xml:space="preserve">Houot R, Lemoine J, Claudel A, et al. Axicabtagene ciloleucel as second-line therapy in patients with large B-cell lymphoma ineligible for autologous stem cell transplantation: ALYCANTE final analysis. </w:t>
      </w:r>
      <w:r>
        <w:rPr>
          <w:rFonts w:ascii="Times New Roman" w:hAnsi="Times New Roman"/>
          <w:i/>
          <w:sz w:val="24"/>
        </w:rPr>
        <w:t>J Clin Oncol</w:t>
      </w:r>
      <w:r>
        <w:rPr>
          <w:rFonts w:ascii="Times New Roman" w:hAnsi="Times New Roman"/>
          <w:b w:val="0"/>
          <w:i w:val="0"/>
          <w:sz w:val="24"/>
        </w:rPr>
        <w:t>. 2026; in revision (Clinical Trial Updates; data cutoff 13 June 2025).</w:t>
      </w:r>
    </w:p>
    <w:p>
      <w:pPr>
        <w:pStyle w:val="ListNumber"/>
        <w:spacing w:before="20" w:after="40" w:line="360" w:lineRule="auto"/>
      </w:pPr>
      <w:r>
        <w:rPr>
          <w:rFonts w:ascii="Times New Roman" w:hAnsi="Times New Roman"/>
          <w:b w:val="0"/>
          <w:i w:val="0"/>
          <w:sz w:val="24"/>
        </w:rPr>
        <w:t xml:space="preserve">Neelapu SS, Locke FL, Bartlett NL, et al. Axicabtagene ciloleucel CAR T-cell therapy in refractory large B-cell lymphoma. </w:t>
      </w:r>
      <w:r>
        <w:rPr>
          <w:rFonts w:ascii="Times New Roman" w:hAnsi="Times New Roman"/>
          <w:i/>
          <w:sz w:val="24"/>
        </w:rPr>
        <w:t>N Engl J Med</w:t>
      </w:r>
      <w:r>
        <w:rPr>
          <w:rFonts w:ascii="Times New Roman" w:hAnsi="Times New Roman"/>
          <w:b w:val="0"/>
          <w:i w:val="0"/>
          <w:sz w:val="24"/>
        </w:rPr>
        <w:t>. 2017;377(26):2531-2544.</w:t>
      </w:r>
    </w:p>
    <w:p>
      <w:pPr>
        <w:pStyle w:val="ListNumber"/>
        <w:spacing w:before="20" w:after="40" w:line="360" w:lineRule="auto"/>
      </w:pPr>
      <w:r>
        <w:rPr>
          <w:rFonts w:ascii="Times New Roman" w:hAnsi="Times New Roman"/>
          <w:b w:val="0"/>
          <w:i w:val="0"/>
          <w:sz w:val="24"/>
        </w:rPr>
        <w:t xml:space="preserve">Schuster SJ, Bishop MR, Tam CS, et al. Tisagenlecleucel in adult relapsed or refractory diffuse large B-cell lymphoma (JULIET). </w:t>
      </w:r>
      <w:r>
        <w:rPr>
          <w:rFonts w:ascii="Times New Roman" w:hAnsi="Times New Roman"/>
          <w:i/>
          <w:sz w:val="24"/>
        </w:rPr>
        <w:t>N Engl J Med</w:t>
      </w:r>
      <w:r>
        <w:rPr>
          <w:rFonts w:ascii="Times New Roman" w:hAnsi="Times New Roman"/>
          <w:b w:val="0"/>
          <w:i w:val="0"/>
          <w:sz w:val="24"/>
        </w:rPr>
        <w:t>. 2019;380(1):45-56.</w:t>
      </w:r>
    </w:p>
    <w:p>
      <w:pPr>
        <w:pStyle w:val="ListNumber"/>
        <w:spacing w:before="20" w:after="40" w:line="360" w:lineRule="auto"/>
      </w:pPr>
      <w:r>
        <w:rPr>
          <w:rFonts w:ascii="Times New Roman" w:hAnsi="Times New Roman"/>
          <w:b w:val="0"/>
          <w:i w:val="0"/>
          <w:sz w:val="24"/>
        </w:rPr>
        <w:t xml:space="preserve">Abramson JS, Palomba ML, Gordon LI, et al. Lisocabtagene maraleucel for patients with relapsed or refractory large B-cell lymphomas (TRANSCEND-NHL-001). </w:t>
      </w:r>
      <w:r>
        <w:rPr>
          <w:rFonts w:ascii="Times New Roman" w:hAnsi="Times New Roman"/>
          <w:i/>
          <w:sz w:val="24"/>
        </w:rPr>
        <w:t>Lancet</w:t>
      </w:r>
      <w:r>
        <w:rPr>
          <w:rFonts w:ascii="Times New Roman" w:hAnsi="Times New Roman"/>
          <w:b w:val="0"/>
          <w:i w:val="0"/>
          <w:sz w:val="24"/>
        </w:rPr>
        <w:t>. 2020;396(10254):839-852.</w:t>
      </w:r>
    </w:p>
    <w:p>
      <w:pPr>
        <w:pStyle w:val="ListNumber"/>
        <w:spacing w:before="20" w:after="40" w:line="360" w:lineRule="auto"/>
      </w:pPr>
      <w:r>
        <w:rPr>
          <w:rFonts w:ascii="Times New Roman" w:hAnsi="Times New Roman"/>
          <w:b w:val="0"/>
          <w:i w:val="0"/>
          <w:sz w:val="24"/>
        </w:rPr>
        <w:t xml:space="preserve">Locke FL, Miklos DB, Jacobson CA, et al. Axicabtagene ciloleucel as second-line therapy for large B-cell lymphoma (ZUMA-7). </w:t>
      </w:r>
      <w:r>
        <w:rPr>
          <w:rFonts w:ascii="Times New Roman" w:hAnsi="Times New Roman"/>
          <w:i/>
          <w:sz w:val="24"/>
        </w:rPr>
        <w:t>N Engl J Med</w:t>
      </w:r>
      <w:r>
        <w:rPr>
          <w:rFonts w:ascii="Times New Roman" w:hAnsi="Times New Roman"/>
          <w:b w:val="0"/>
          <w:i w:val="0"/>
          <w:sz w:val="24"/>
        </w:rPr>
        <w:t>. 2022;386(7):640-654.</w:t>
      </w:r>
    </w:p>
    <w:p>
      <w:pPr>
        <w:pStyle w:val="ListNumber"/>
        <w:spacing w:before="20" w:after="40" w:line="360" w:lineRule="auto"/>
      </w:pPr>
      <w:r>
        <w:rPr>
          <w:rFonts w:ascii="Times New Roman" w:hAnsi="Times New Roman"/>
          <w:b w:val="0"/>
          <w:i w:val="0"/>
          <w:sz w:val="24"/>
        </w:rPr>
        <w:t xml:space="preserve">Abramson JS, Solomon SR, Arnason J, et al. Lisocabtagene maraleucel as second-line therapy for large B-cell lymphoma: TRANSFORM. </w:t>
      </w:r>
      <w:r>
        <w:rPr>
          <w:rFonts w:ascii="Times New Roman" w:hAnsi="Times New Roman"/>
          <w:i/>
          <w:sz w:val="24"/>
        </w:rPr>
        <w:t>Blood</w:t>
      </w:r>
      <w:r>
        <w:rPr>
          <w:rFonts w:ascii="Times New Roman" w:hAnsi="Times New Roman"/>
          <w:b w:val="0"/>
          <w:i w:val="0"/>
          <w:sz w:val="24"/>
        </w:rPr>
        <w:t>. 2023;141(14):1675-1684.</w:t>
      </w:r>
    </w:p>
    <w:p>
      <w:pPr>
        <w:pStyle w:val="ListNumber"/>
        <w:spacing w:before="20" w:after="40" w:line="360" w:lineRule="auto"/>
      </w:pPr>
      <w:r>
        <w:rPr>
          <w:rFonts w:ascii="Times New Roman" w:hAnsi="Times New Roman"/>
          <w:b w:val="0"/>
          <w:i w:val="0"/>
          <w:sz w:val="24"/>
        </w:rPr>
        <w:t xml:space="preserve">Houot R, Bachy E, Cartron G, et al. Axicabtagene ciloleucel as second-line therapy in large B-cell lymphoma ineligible for autologous stem-cell transplantation: a phase 2 trial (ALYCANTE primary analysis). </w:t>
      </w:r>
      <w:r>
        <w:rPr>
          <w:rFonts w:ascii="Times New Roman" w:hAnsi="Times New Roman"/>
          <w:i/>
          <w:sz w:val="24"/>
        </w:rPr>
        <w:t>Nat Med</w:t>
      </w:r>
      <w:r>
        <w:rPr>
          <w:rFonts w:ascii="Times New Roman" w:hAnsi="Times New Roman"/>
          <w:b w:val="0"/>
          <w:i w:val="0"/>
          <w:sz w:val="24"/>
        </w:rPr>
        <w:t>. 2023;29(10):2593-2601.</w:t>
      </w:r>
    </w:p>
    <w:p>
      <w:pPr>
        <w:pStyle w:val="ListNumber"/>
        <w:spacing w:before="20" w:after="40" w:line="360" w:lineRule="auto"/>
      </w:pPr>
      <w:r>
        <w:rPr>
          <w:rFonts w:ascii="Times New Roman" w:hAnsi="Times New Roman"/>
          <w:b w:val="0"/>
          <w:i w:val="0"/>
          <w:sz w:val="24"/>
        </w:rPr>
        <w:t xml:space="preserve">Lauer EM, Mutter J, Scherer F. Circulating tumor DNA in B-cell lymphoma: technical advances, clinical applications, and perspectives. </w:t>
      </w:r>
      <w:r>
        <w:rPr>
          <w:rFonts w:ascii="Times New Roman" w:hAnsi="Times New Roman"/>
          <w:i/>
          <w:sz w:val="24"/>
        </w:rPr>
        <w:t>Leukemia</w:t>
      </w:r>
      <w:r>
        <w:rPr>
          <w:rFonts w:ascii="Times New Roman" w:hAnsi="Times New Roman"/>
          <w:b w:val="0"/>
          <w:i w:val="0"/>
          <w:sz w:val="24"/>
        </w:rPr>
        <w:t>. 2022;36(9):2151-2164.</w:t>
      </w:r>
    </w:p>
    <w:p>
      <w:pPr>
        <w:pStyle w:val="ListNumber"/>
        <w:spacing w:before="20" w:after="40" w:line="360" w:lineRule="auto"/>
      </w:pPr>
      <w:r>
        <w:rPr>
          <w:rFonts w:ascii="Times New Roman" w:hAnsi="Times New Roman"/>
          <w:b w:val="0"/>
          <w:i w:val="0"/>
          <w:sz w:val="24"/>
        </w:rPr>
        <w:t xml:space="preserve">Newman AM, Bratman SV, To J, et al. An ultrasensitive method for quantitating circulating tumor DNA with broad patient coverage. </w:t>
      </w:r>
      <w:r>
        <w:rPr>
          <w:rFonts w:ascii="Times New Roman" w:hAnsi="Times New Roman"/>
          <w:i/>
          <w:sz w:val="24"/>
        </w:rPr>
        <w:t>Nat Med</w:t>
      </w:r>
      <w:r>
        <w:rPr>
          <w:rFonts w:ascii="Times New Roman" w:hAnsi="Times New Roman"/>
          <w:b w:val="0"/>
          <w:i w:val="0"/>
          <w:sz w:val="24"/>
        </w:rPr>
        <w:t>. 2014;20(5):548-554.</w:t>
      </w:r>
    </w:p>
    <w:p>
      <w:pPr>
        <w:pStyle w:val="ListNumber"/>
        <w:spacing w:before="20" w:after="40" w:line="360" w:lineRule="auto"/>
      </w:pPr>
      <w:r>
        <w:rPr>
          <w:rFonts w:ascii="Times New Roman" w:hAnsi="Times New Roman"/>
          <w:b w:val="0"/>
          <w:i w:val="0"/>
          <w:sz w:val="24"/>
        </w:rPr>
        <w:t xml:space="preserve">Kurtz DM, Scherer F, Jin MC, et al. Circulating tumor DNA measurements as early outcome predictors in diffuse large B-cell lymphoma. </w:t>
      </w:r>
      <w:r>
        <w:rPr>
          <w:rFonts w:ascii="Times New Roman" w:hAnsi="Times New Roman"/>
          <w:i/>
          <w:sz w:val="24"/>
        </w:rPr>
        <w:t>J Clin Oncol</w:t>
      </w:r>
      <w:r>
        <w:rPr>
          <w:rFonts w:ascii="Times New Roman" w:hAnsi="Times New Roman"/>
          <w:b w:val="0"/>
          <w:i w:val="0"/>
          <w:sz w:val="24"/>
        </w:rPr>
        <w:t>. 2018;36(28):2845-2853.</w:t>
      </w:r>
    </w:p>
    <w:p>
      <w:pPr>
        <w:pStyle w:val="ListNumber"/>
        <w:spacing w:before="20" w:after="40" w:line="360" w:lineRule="auto"/>
      </w:pPr>
      <w:r>
        <w:rPr>
          <w:rFonts w:ascii="Times New Roman" w:hAnsi="Times New Roman"/>
          <w:b w:val="0"/>
          <w:i w:val="0"/>
          <w:sz w:val="24"/>
        </w:rPr>
        <w:t xml:space="preserve">Frank MJ, Hossain NM, Bukhari A, et al. Monitoring of circulating tumor DNA improves early relapse detection after axicabtagene ciloleucel in large B-cell lymphoma. </w:t>
      </w:r>
      <w:r>
        <w:rPr>
          <w:rFonts w:ascii="Times New Roman" w:hAnsi="Times New Roman"/>
          <w:i/>
          <w:sz w:val="24"/>
        </w:rPr>
        <w:t>J Clin Oncol</w:t>
      </w:r>
      <w:r>
        <w:rPr>
          <w:rFonts w:ascii="Times New Roman" w:hAnsi="Times New Roman"/>
          <w:b w:val="0"/>
          <w:i w:val="0"/>
          <w:sz w:val="24"/>
        </w:rPr>
        <w:t>. 2021;39(27):3034-3043.</w:t>
      </w:r>
    </w:p>
    <w:p>
      <w:pPr>
        <w:pStyle w:val="ListNumber"/>
        <w:spacing w:before="20" w:after="40" w:line="360" w:lineRule="auto"/>
      </w:pPr>
      <w:r>
        <w:rPr>
          <w:rFonts w:ascii="Times New Roman" w:hAnsi="Times New Roman"/>
          <w:b w:val="0"/>
          <w:i w:val="0"/>
          <w:sz w:val="24"/>
        </w:rPr>
        <w:t xml:space="preserve">Sworder BJ, Kurtz DM, Alig SK, et al. Determinants of resistance to engineered T-cell therapies targeting CD19 in large B-cell lymphomas. </w:t>
      </w:r>
      <w:r>
        <w:rPr>
          <w:rFonts w:ascii="Times New Roman" w:hAnsi="Times New Roman"/>
          <w:i/>
          <w:sz w:val="24"/>
        </w:rPr>
        <w:t>Cancer Cell</w:t>
      </w:r>
      <w:r>
        <w:rPr>
          <w:rFonts w:ascii="Times New Roman" w:hAnsi="Times New Roman"/>
          <w:b w:val="0"/>
          <w:i w:val="0"/>
          <w:sz w:val="24"/>
        </w:rPr>
        <w:t>. 2023;41(1):210-225.e5.</w:t>
      </w:r>
    </w:p>
    <w:p>
      <w:pPr>
        <w:pStyle w:val="ListNumber"/>
        <w:spacing w:before="20" w:after="40" w:line="360" w:lineRule="auto"/>
      </w:pPr>
      <w:r>
        <w:rPr>
          <w:rFonts w:ascii="Times New Roman" w:hAnsi="Times New Roman"/>
          <w:b w:val="0"/>
          <w:i w:val="0"/>
          <w:sz w:val="24"/>
        </w:rPr>
        <w:t xml:space="preserve">Meriranta L, Alkodsi A, Pasanen A, et al. Molecular features encoded in the ctDNA reveal heterogeneity and predict outcome in high-risk aggressive B-cell lymphoma. </w:t>
      </w:r>
      <w:r>
        <w:rPr>
          <w:rFonts w:ascii="Times New Roman" w:hAnsi="Times New Roman"/>
          <w:i/>
          <w:sz w:val="24"/>
        </w:rPr>
        <w:t>Blood</w:t>
      </w:r>
      <w:r>
        <w:rPr>
          <w:rFonts w:ascii="Times New Roman" w:hAnsi="Times New Roman"/>
          <w:b w:val="0"/>
          <w:i w:val="0"/>
          <w:sz w:val="24"/>
        </w:rPr>
        <w:t>. 2022;139(12):1863-1877.</w:t>
      </w:r>
    </w:p>
    <w:p>
      <w:pPr>
        <w:pStyle w:val="ListNumber"/>
        <w:spacing w:before="20" w:after="40" w:line="360" w:lineRule="auto"/>
      </w:pPr>
      <w:r>
        <w:rPr>
          <w:rFonts w:ascii="Times New Roman" w:hAnsi="Times New Roman"/>
          <w:b w:val="0"/>
          <w:i w:val="0"/>
          <w:sz w:val="24"/>
        </w:rPr>
        <w:t xml:space="preserve">Zou H, Liu W, Wang X, et al. Dynamic monitoring of circulating tumor DNA reveals outcomes and genomic alterations in patients with relapsed or refractory large B-cell lymphoma undergoing CAR T-cell therapy. </w:t>
      </w:r>
      <w:r>
        <w:rPr>
          <w:rFonts w:ascii="Times New Roman" w:hAnsi="Times New Roman"/>
          <w:i/>
          <w:sz w:val="24"/>
        </w:rPr>
        <w:t>J Immunother Cancer</w:t>
      </w:r>
      <w:r>
        <w:rPr>
          <w:rFonts w:ascii="Times New Roman" w:hAnsi="Times New Roman"/>
          <w:b w:val="0"/>
          <w:i w:val="0"/>
          <w:sz w:val="24"/>
        </w:rPr>
        <w:t>. 2024;12(7):e009016.</w:t>
      </w:r>
    </w:p>
    <w:p>
      <w:pPr>
        <w:pStyle w:val="ListNumber"/>
        <w:spacing w:before="20" w:after="40" w:line="360" w:lineRule="auto"/>
      </w:pPr>
      <w:r>
        <w:rPr>
          <w:rFonts w:ascii="Times New Roman" w:hAnsi="Times New Roman"/>
          <w:b w:val="0"/>
          <w:i w:val="0"/>
          <w:sz w:val="24"/>
        </w:rPr>
        <w:t xml:space="preserve">Stepan L, Sehgal A, Ghosh M, et al. Circulating tumor DNA dynamics in second-line lisocabtagene maraleucel: TRANSFORM biomarker substudy. </w:t>
      </w:r>
      <w:r>
        <w:rPr>
          <w:rFonts w:ascii="Times New Roman" w:hAnsi="Times New Roman"/>
          <w:i/>
          <w:sz w:val="24"/>
        </w:rPr>
        <w:t>Blood</w:t>
      </w:r>
      <w:r>
        <w:rPr>
          <w:rFonts w:ascii="Times New Roman" w:hAnsi="Times New Roman"/>
          <w:b w:val="0"/>
          <w:i w:val="0"/>
          <w:sz w:val="24"/>
        </w:rPr>
        <w:t>. 2026; in press.</w:t>
      </w:r>
    </w:p>
    <w:p>
      <w:pPr>
        <w:pStyle w:val="ListNumber"/>
        <w:spacing w:before="20" w:after="40" w:line="360" w:lineRule="auto"/>
      </w:pPr>
      <w:r>
        <w:rPr>
          <w:rFonts w:ascii="Times New Roman" w:hAnsi="Times New Roman"/>
          <w:b w:val="0"/>
          <w:i w:val="0"/>
          <w:sz w:val="24"/>
        </w:rPr>
        <w:t xml:space="preserve">Proust-Lima C, Philipps V, Liquet B. Estimation of extended mixed models using latent classes and latent processes: the R package lcmm. </w:t>
      </w:r>
      <w:r>
        <w:rPr>
          <w:rFonts w:ascii="Times New Roman" w:hAnsi="Times New Roman"/>
          <w:i/>
          <w:sz w:val="24"/>
        </w:rPr>
        <w:t>J Stat Softw</w:t>
      </w:r>
      <w:r>
        <w:rPr>
          <w:rFonts w:ascii="Times New Roman" w:hAnsi="Times New Roman"/>
          <w:b w:val="0"/>
          <w:i w:val="0"/>
          <w:sz w:val="24"/>
        </w:rPr>
        <w:t>. 2017;78(2):1-56.</w:t>
      </w:r>
    </w:p>
    <w:p>
      <w:pPr>
        <w:pStyle w:val="ListNumber"/>
        <w:spacing w:before="20" w:after="40" w:line="360" w:lineRule="auto"/>
      </w:pPr>
      <w:r>
        <w:rPr>
          <w:rFonts w:ascii="Times New Roman" w:hAnsi="Times New Roman"/>
          <w:b w:val="0"/>
          <w:i w:val="0"/>
          <w:sz w:val="24"/>
        </w:rPr>
        <w:t xml:space="preserve">Henderson R, Diggle P, Dobson A. Joint modelling of longitudinal measurements and event time data. </w:t>
      </w:r>
      <w:r>
        <w:rPr>
          <w:rFonts w:ascii="Times New Roman" w:hAnsi="Times New Roman"/>
          <w:i/>
          <w:sz w:val="24"/>
        </w:rPr>
        <w:t>Biostatistics</w:t>
      </w:r>
      <w:r>
        <w:rPr>
          <w:rFonts w:ascii="Times New Roman" w:hAnsi="Times New Roman"/>
          <w:b w:val="0"/>
          <w:i w:val="0"/>
          <w:sz w:val="24"/>
        </w:rPr>
        <w:t>. 2000;1(4):465-480.</w:t>
      </w:r>
    </w:p>
    <w:p>
      <w:pPr>
        <w:pStyle w:val="ListNumber"/>
        <w:spacing w:before="20" w:after="40" w:line="360" w:lineRule="auto"/>
      </w:pPr>
      <w:r>
        <w:rPr>
          <w:rFonts w:ascii="Times New Roman" w:hAnsi="Times New Roman"/>
          <w:b w:val="0"/>
          <w:i w:val="0"/>
          <w:sz w:val="24"/>
        </w:rPr>
        <w:t xml:space="preserve">Proust-Lima C, Sene M, Taylor JMG, Jacqmin-Gadda H. Joint latent class models for longitudinal and time-to-event data: a review. </w:t>
      </w:r>
      <w:r>
        <w:rPr>
          <w:rFonts w:ascii="Times New Roman" w:hAnsi="Times New Roman"/>
          <w:i/>
          <w:sz w:val="24"/>
        </w:rPr>
        <w:t>Stat Methods Med Res</w:t>
      </w:r>
      <w:r>
        <w:rPr>
          <w:rFonts w:ascii="Times New Roman" w:hAnsi="Times New Roman"/>
          <w:b w:val="0"/>
          <w:i w:val="0"/>
          <w:sz w:val="24"/>
        </w:rPr>
        <w:t>. 2014;23(1):74-90.</w:t>
      </w:r>
    </w:p>
    <w:p>
      <w:pPr>
        <w:pStyle w:val="ListNumber"/>
        <w:spacing w:before="20" w:after="40" w:line="360" w:lineRule="auto"/>
      </w:pPr>
      <w:r>
        <w:rPr>
          <w:rFonts w:ascii="Times New Roman" w:hAnsi="Times New Roman"/>
          <w:b w:val="0"/>
          <w:i w:val="0"/>
          <w:sz w:val="24"/>
        </w:rPr>
        <w:t xml:space="preserve">Cheson BD, Fisher RI, Barrington SF, et al. Recommendations for initial evaluation, staging, and response assessment of Hodgkin and non-Hodgkin lymphoma: the Lugano classification. </w:t>
      </w:r>
      <w:r>
        <w:rPr>
          <w:rFonts w:ascii="Times New Roman" w:hAnsi="Times New Roman"/>
          <w:i/>
          <w:sz w:val="24"/>
        </w:rPr>
        <w:t>J Clin Oncol</w:t>
      </w:r>
      <w:r>
        <w:rPr>
          <w:rFonts w:ascii="Times New Roman" w:hAnsi="Times New Roman"/>
          <w:b w:val="0"/>
          <w:i w:val="0"/>
          <w:sz w:val="24"/>
        </w:rPr>
        <w:t>. 2014;32(27):3059-3068.</w:t>
      </w:r>
    </w:p>
    <w:p>
      <w:pPr>
        <w:pStyle w:val="ListNumber"/>
        <w:spacing w:before="20" w:after="40" w:line="360" w:lineRule="auto"/>
      </w:pPr>
      <w:r>
        <w:rPr>
          <w:rFonts w:ascii="Times New Roman" w:hAnsi="Times New Roman"/>
          <w:b w:val="0"/>
          <w:i w:val="0"/>
          <w:sz w:val="24"/>
        </w:rPr>
        <w:t xml:space="preserve">Firth D. Bias reduction of maximum likelihood estimates. </w:t>
      </w:r>
      <w:r>
        <w:rPr>
          <w:rFonts w:ascii="Times New Roman" w:hAnsi="Times New Roman"/>
          <w:i/>
          <w:sz w:val="24"/>
        </w:rPr>
        <w:t>Biometrika</w:t>
      </w:r>
      <w:r>
        <w:rPr>
          <w:rFonts w:ascii="Times New Roman" w:hAnsi="Times New Roman"/>
          <w:b w:val="0"/>
          <w:i w:val="0"/>
          <w:sz w:val="24"/>
        </w:rPr>
        <w:t>. 1993;80(1):27-38.</w:t>
      </w:r>
    </w:p>
    <w:p>
      <w:pPr>
        <w:pStyle w:val="ListNumber"/>
        <w:spacing w:before="20" w:after="40" w:line="360" w:lineRule="auto"/>
      </w:pPr>
      <w:r>
        <w:rPr>
          <w:rFonts w:ascii="Times New Roman" w:hAnsi="Times New Roman"/>
          <w:b w:val="0"/>
          <w:i w:val="0"/>
          <w:sz w:val="24"/>
        </w:rPr>
        <w:t xml:space="preserve">Heinze G, Schemper M. A solution to the problem of monotone likelihood in Cox regression. </w:t>
      </w:r>
      <w:r>
        <w:rPr>
          <w:rFonts w:ascii="Times New Roman" w:hAnsi="Times New Roman"/>
          <w:i/>
          <w:sz w:val="24"/>
        </w:rPr>
        <w:t>Biometrics</w:t>
      </w:r>
      <w:r>
        <w:rPr>
          <w:rFonts w:ascii="Times New Roman" w:hAnsi="Times New Roman"/>
          <w:b w:val="0"/>
          <w:i w:val="0"/>
          <w:sz w:val="24"/>
        </w:rPr>
        <w:t>. 2001;57(1):114-119.</w:t>
      </w:r>
    </w:p>
    <w:p>
      <w:pPr>
        <w:pStyle w:val="ListNumber"/>
        <w:spacing w:before="20" w:after="40" w:line="360" w:lineRule="auto"/>
      </w:pPr>
      <w:r>
        <w:rPr>
          <w:rFonts w:ascii="Times New Roman" w:hAnsi="Times New Roman"/>
          <w:b w:val="0"/>
          <w:i w:val="0"/>
          <w:sz w:val="24"/>
        </w:rPr>
        <w:t xml:space="preserve">International Non-Hodgkin's Lymphoma Prognostic Factors Project. A predictive model for aggressive non-Hodgkin's lymphoma. </w:t>
      </w:r>
      <w:r>
        <w:rPr>
          <w:rFonts w:ascii="Times New Roman" w:hAnsi="Times New Roman"/>
          <w:i/>
          <w:sz w:val="24"/>
        </w:rPr>
        <w:t>N Engl J Med</w:t>
      </w:r>
      <w:r>
        <w:rPr>
          <w:rFonts w:ascii="Times New Roman" w:hAnsi="Times New Roman"/>
          <w:b w:val="0"/>
          <w:i w:val="0"/>
          <w:sz w:val="24"/>
        </w:rPr>
        <w:t>. 1993;329(14):987-994.</w:t>
      </w:r>
    </w:p>
    <w:p>
      <w:pPr>
        <w:pStyle w:val="ListNumber"/>
        <w:spacing w:before="20" w:after="40" w:line="360" w:lineRule="auto"/>
      </w:pPr>
      <w:r>
        <w:rPr>
          <w:rFonts w:ascii="Times New Roman" w:hAnsi="Times New Roman"/>
          <w:b w:val="0"/>
          <w:i w:val="0"/>
          <w:sz w:val="24"/>
        </w:rPr>
        <w:t xml:space="preserve">Schoenfeld D. Partial residuals for the proportional hazards regression model. </w:t>
      </w:r>
      <w:r>
        <w:rPr>
          <w:rFonts w:ascii="Times New Roman" w:hAnsi="Times New Roman"/>
          <w:i/>
          <w:sz w:val="24"/>
        </w:rPr>
        <w:t>Biometrika</w:t>
      </w:r>
      <w:r>
        <w:rPr>
          <w:rFonts w:ascii="Times New Roman" w:hAnsi="Times New Roman"/>
          <w:b w:val="0"/>
          <w:i w:val="0"/>
          <w:sz w:val="24"/>
        </w:rPr>
        <w:t>. 1982;69(1):239-241.</w:t>
      </w:r>
    </w:p>
    <w:p>
      <w:pPr>
        <w:pStyle w:val="ListNumber"/>
        <w:spacing w:before="20" w:after="40" w:line="360" w:lineRule="auto"/>
      </w:pPr>
      <w:r>
        <w:rPr>
          <w:rFonts w:ascii="Times New Roman" w:hAnsi="Times New Roman"/>
          <w:b w:val="0"/>
          <w:i w:val="0"/>
          <w:sz w:val="24"/>
        </w:rPr>
        <w:t xml:space="preserve">Pencina MJ, D'Agostino RB, Steyerberg EW. Extensions of net reclassification improvement calculations to measure usefulness of new biomarkers. </w:t>
      </w:r>
      <w:r>
        <w:rPr>
          <w:rFonts w:ascii="Times New Roman" w:hAnsi="Times New Roman"/>
          <w:i/>
          <w:sz w:val="24"/>
        </w:rPr>
        <w:t>Stat Med</w:t>
      </w:r>
      <w:r>
        <w:rPr>
          <w:rFonts w:ascii="Times New Roman" w:hAnsi="Times New Roman"/>
          <w:b w:val="0"/>
          <w:i w:val="0"/>
          <w:sz w:val="24"/>
        </w:rPr>
        <w:t>. 2011;30(1):11-21.</w:t>
      </w:r>
    </w:p>
    <w:p>
      <w:pPr>
        <w:pStyle w:val="ListNumber"/>
        <w:spacing w:before="20" w:after="40" w:line="360" w:lineRule="auto"/>
      </w:pPr>
      <w:r>
        <w:rPr>
          <w:rFonts w:ascii="Times New Roman" w:hAnsi="Times New Roman"/>
          <w:b w:val="0"/>
          <w:i w:val="0"/>
          <w:sz w:val="24"/>
        </w:rPr>
        <w:t xml:space="preserve">Roschewski M, Dunleavy K, Pittaluga S, et al. Circulating tumour DNA and CT monitoring in patients with untreated diffuse large B-cell lymphoma. </w:t>
      </w:r>
      <w:r>
        <w:rPr>
          <w:rFonts w:ascii="Times New Roman" w:hAnsi="Times New Roman"/>
          <w:i/>
          <w:sz w:val="24"/>
        </w:rPr>
        <w:t>Lancet Oncol</w:t>
      </w:r>
      <w:r>
        <w:rPr>
          <w:rFonts w:ascii="Times New Roman" w:hAnsi="Times New Roman"/>
          <w:b w:val="0"/>
          <w:i w:val="0"/>
          <w:sz w:val="24"/>
        </w:rPr>
        <w:t>. 2015;16(5):541-549.</w:t>
      </w:r>
    </w:p>
    <w:p>
      <w:pPr>
        <w:pStyle w:val="ListNumber"/>
        <w:spacing w:before="20" w:after="40" w:line="360" w:lineRule="auto"/>
      </w:pPr>
      <w:r>
        <w:rPr>
          <w:rFonts w:ascii="Times New Roman" w:hAnsi="Times New Roman"/>
          <w:b w:val="0"/>
          <w:i w:val="0"/>
          <w:sz w:val="24"/>
        </w:rPr>
        <w:t xml:space="preserve">Lee DW, Santomasso BD, Locke FL, et al. ASTCT consensus grading for cytokine release syndrome and neurologic toxicity associated with immune effector cells. </w:t>
      </w:r>
      <w:r>
        <w:rPr>
          <w:rFonts w:ascii="Times New Roman" w:hAnsi="Times New Roman"/>
          <w:i/>
          <w:sz w:val="24"/>
        </w:rPr>
        <w:t>Biol Blood Marrow Transplant</w:t>
      </w:r>
      <w:r>
        <w:rPr>
          <w:rFonts w:ascii="Times New Roman" w:hAnsi="Times New Roman"/>
          <w:b w:val="0"/>
          <w:i w:val="0"/>
          <w:sz w:val="24"/>
        </w:rPr>
        <w:t>. 2019;25(4):625-638.</w:t>
      </w:r>
    </w:p>
    <w:p>
      <w:pPr>
        <w:pStyle w:val="ListNumber"/>
        <w:spacing w:before="20" w:after="40" w:line="360" w:lineRule="auto"/>
      </w:pPr>
      <w:r>
        <w:rPr>
          <w:rFonts w:ascii="Times New Roman" w:hAnsi="Times New Roman"/>
          <w:b w:val="0"/>
          <w:i w:val="0"/>
          <w:sz w:val="24"/>
        </w:rPr>
        <w:t xml:space="preserve">Sasanelli M, Meignan M, Haioun C, et al. Pretherapy metabolic tumour volume is an independent predictor of outcome in patients with diffuse large B-cell lymphoma. </w:t>
      </w:r>
      <w:r>
        <w:rPr>
          <w:rFonts w:ascii="Times New Roman" w:hAnsi="Times New Roman"/>
          <w:i/>
          <w:sz w:val="24"/>
        </w:rPr>
        <w:t>Eur J Nucl Med Mol Imaging</w:t>
      </w:r>
      <w:r>
        <w:rPr>
          <w:rFonts w:ascii="Times New Roman" w:hAnsi="Times New Roman"/>
          <w:b w:val="0"/>
          <w:i w:val="0"/>
          <w:sz w:val="24"/>
        </w:rPr>
        <w:t>. 2014;41(11):2017-2022.</w:t>
      </w:r>
    </w:p>
    <w:p>
      <w:pPr>
        <w:pStyle w:val="ListNumber"/>
        <w:spacing w:before="20" w:after="40" w:line="360" w:lineRule="auto"/>
      </w:pPr>
      <w:r>
        <w:rPr>
          <w:rFonts w:ascii="Times New Roman" w:hAnsi="Times New Roman"/>
          <w:b w:val="0"/>
          <w:i w:val="0"/>
          <w:sz w:val="24"/>
        </w:rPr>
        <w:t xml:space="preserve">Vercellino L, Cottereau AS, Casasnovas O, et al. High total metabolic tumor volume at baseline predicts survival independent of response to therapy. </w:t>
      </w:r>
      <w:r>
        <w:rPr>
          <w:rFonts w:ascii="Times New Roman" w:hAnsi="Times New Roman"/>
          <w:i/>
          <w:sz w:val="24"/>
        </w:rPr>
        <w:t>Blood</w:t>
      </w:r>
      <w:r>
        <w:rPr>
          <w:rFonts w:ascii="Times New Roman" w:hAnsi="Times New Roman"/>
          <w:b w:val="0"/>
          <w:i w:val="0"/>
          <w:sz w:val="24"/>
        </w:rPr>
        <w:t>. 2020;135(16):1396-1405.</w:t>
      </w:r>
    </w:p>
    <w:p>
      <w:pPr>
        <w:pStyle w:val="ListNumber"/>
        <w:spacing w:before="20" w:after="40" w:line="360" w:lineRule="auto"/>
      </w:pPr>
      <w:r>
        <w:rPr>
          <w:rFonts w:ascii="Times New Roman" w:hAnsi="Times New Roman"/>
          <w:b w:val="0"/>
          <w:i w:val="0"/>
          <w:sz w:val="24"/>
        </w:rPr>
        <w:t xml:space="preserve">Alig SK, Shahrokh Esfahani M, Garofalo A, et al. Distinct Hodgkin lymphoma subtypes defined by noninvasive genomic profiling. </w:t>
      </w:r>
      <w:r>
        <w:rPr>
          <w:rFonts w:ascii="Times New Roman" w:hAnsi="Times New Roman"/>
          <w:i/>
          <w:sz w:val="24"/>
        </w:rPr>
        <w:t>Nature</w:t>
      </w:r>
      <w:r>
        <w:rPr>
          <w:rFonts w:ascii="Times New Roman" w:hAnsi="Times New Roman"/>
          <w:b w:val="0"/>
          <w:i w:val="0"/>
          <w:sz w:val="24"/>
        </w:rPr>
        <w:t>. 2024;625(7997):779-787.</w:t>
      </w:r>
    </w:p>
    <w:p>
      <w:pPr>
        <w:pStyle w:val="ListNumber"/>
        <w:spacing w:before="20" w:after="40" w:line="360" w:lineRule="auto"/>
      </w:pPr>
      <w:r>
        <w:rPr>
          <w:rFonts w:ascii="Times New Roman" w:hAnsi="Times New Roman"/>
          <w:b w:val="0"/>
          <w:i w:val="0"/>
          <w:sz w:val="24"/>
        </w:rPr>
        <w:t xml:space="preserve">Dickinson MJ, Carlo-Stella C, Morschhauser F, et al. Glofitamab for relapsed or refractory diffuse large B-cell lymphoma. </w:t>
      </w:r>
      <w:r>
        <w:rPr>
          <w:rFonts w:ascii="Times New Roman" w:hAnsi="Times New Roman"/>
          <w:i/>
          <w:sz w:val="24"/>
        </w:rPr>
        <w:t>N Engl J Med</w:t>
      </w:r>
      <w:r>
        <w:rPr>
          <w:rFonts w:ascii="Times New Roman" w:hAnsi="Times New Roman"/>
          <w:b w:val="0"/>
          <w:i w:val="0"/>
          <w:sz w:val="24"/>
        </w:rPr>
        <w:t>. 2022;387(24):2220-2231.</w:t>
      </w:r>
    </w:p>
    <w:p>
      <w:pPr>
        <w:pStyle w:val="ListNumber"/>
        <w:spacing w:before="20" w:after="40" w:line="360" w:lineRule="auto"/>
      </w:pPr>
      <w:r>
        <w:rPr>
          <w:rFonts w:ascii="Times New Roman" w:hAnsi="Times New Roman"/>
          <w:b w:val="0"/>
          <w:i w:val="0"/>
          <w:sz w:val="24"/>
        </w:rPr>
        <w:t xml:space="preserve">Thieblemont C, Phillips T, Ghesquieres H, et al. Epcoritamab, a novel, subcutaneous CD3xCD20 bispecific T-cell-engaging antibody, in relapsed/refractory large B-cell lymphoma: EPCORE NHL-1. </w:t>
      </w:r>
      <w:r>
        <w:rPr>
          <w:rFonts w:ascii="Times New Roman" w:hAnsi="Times New Roman"/>
          <w:i/>
          <w:sz w:val="24"/>
        </w:rPr>
        <w:t>J Clin Oncol</w:t>
      </w:r>
      <w:r>
        <w:rPr>
          <w:rFonts w:ascii="Times New Roman" w:hAnsi="Times New Roman"/>
          <w:b w:val="0"/>
          <w:i w:val="0"/>
          <w:sz w:val="24"/>
        </w:rPr>
        <w:t>. 2023;41(12):2238-2247.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