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line="288" w:lineRule="auto"/>
        <w:jc w:val="center"/>
      </w:pPr>
      <w:r>
        <w:rPr>
          <w:rFonts w:ascii="Times New Roman" w:hAnsi="Times New Roman"/>
          <w:b/>
          <w:sz w:val="36"/>
        </w:rPr>
        <w:t>Supplemental Material — Blood Article ALYCANTE</w:t>
      </w:r>
    </w:p>
    <w:p>
      <w:pPr>
        <w:spacing w:before="0" w:after="120" w:line="360" w:lineRule="auto"/>
        <w:jc w:val="both"/>
      </w:pPr>
      <w:r>
        <w:rPr>
          <w:rFonts w:ascii="Times New Roman" w:hAnsi="Times New Roman"/>
          <w:b w:val="0"/>
          <w:i w:val="0"/>
          <w:sz w:val="24"/>
        </w:rPr>
        <w:t>Day-14 risk stratification by joint latent class modeling of plasma ctDNA in transplant-ineligible R/R LBCL after axicabtagene ciloleucel — Supplemental Figures and Tables. External validation cohort: Henri-Mondor real-world cohort (single-center, retrospective, Hôpital Henri-Mondor, AP-HP, Créteil, France). All figures provided as vector PDF and PNG.</w:t>
      </w:r>
    </w:p>
    <w:p>
      <w:pPr>
        <w:keepNext/>
        <w:spacing w:before="280" w:after="160" w:line="288" w:lineRule="auto"/>
      </w:pPr>
      <w:r>
        <w:rPr>
          <w:rFonts w:ascii="Times New Roman" w:hAnsi="Times New Roman"/>
          <w:b/>
          <w:sz w:val="28"/>
        </w:rPr>
        <w:t>Supplemental Figure S1. Schoenfeld residuals — proportional-hazards test</w:t>
      </w:r>
    </w:p>
    <w:p>
      <w:pPr>
        <w:spacing w:before="160" w:after="40" w:line="240" w:lineRule="auto"/>
        <w:jc w:val="center"/>
      </w:pPr>
      <w:r>
        <w:drawing>
          <wp:inline xmlns:a="http://schemas.openxmlformats.org/drawingml/2006/main" xmlns:pic="http://schemas.openxmlformats.org/drawingml/2006/picture">
            <wp:extent cx="5400000" cy="2502598"/>
            <wp:docPr id="1" name="Picture 1"/>
            <wp:cNvGraphicFramePr>
              <a:graphicFrameLocks noChangeAspect="1"/>
            </wp:cNvGraphicFramePr>
            <a:graphic>
              <a:graphicData uri="http://schemas.openxmlformats.org/drawingml/2006/picture">
                <pic:pic>
                  <pic:nvPicPr>
                    <pic:cNvPr id="0" name="SuppFig1_schoenfeld.png"/>
                    <pic:cNvPicPr/>
                  </pic:nvPicPr>
                  <pic:blipFill>
                    <a:blip r:embed="rId9"/>
                    <a:stretch>
                      <a:fillRect/>
                    </a:stretch>
                  </pic:blipFill>
                  <pic:spPr>
                    <a:xfrm>
                      <a:off x="0" y="0"/>
                      <a:ext cx="5400000" cy="2502598"/>
                    </a:xfrm>
                    <a:prstGeom prst="rect"/>
                  </pic:spPr>
                </pic:pic>
              </a:graphicData>
            </a:graphic>
          </wp:inline>
        </w:drawing>
      </w:r>
    </w:p>
    <w:p>
      <w:pPr>
        <w:spacing w:before="0" w:after="200" w:line="276" w:lineRule="auto"/>
        <w:jc w:val="center"/>
      </w:pPr>
      <w:r>
        <w:rPr>
          <w:rFonts w:ascii="Times New Roman" w:hAnsi="Times New Roman"/>
          <w:i/>
          <w:color w:val="404040"/>
          <w:sz w:val="20"/>
        </w:rPr>
        <w:t>Schoenfeld residuals (rank-time-transform) for each covariate of the multivariable Cox model. All P &gt; .20, indicating the proportional-hazards assumption holds.</w:t>
      </w:r>
    </w:p>
    <w:p>
      <w:pPr>
        <w:keepNext/>
        <w:spacing w:before="280" w:after="160" w:line="288" w:lineRule="auto"/>
      </w:pPr>
      <w:r>
        <w:rPr>
          <w:rFonts w:ascii="Times New Roman" w:hAnsi="Times New Roman"/>
          <w:b/>
          <w:sz w:val="28"/>
        </w:rPr>
        <w:t>Supplemental Figure S2. Calibration plot at 12 months</w:t>
      </w:r>
    </w:p>
    <w:p>
      <w:pPr>
        <w:spacing w:before="160" w:after="40" w:line="240" w:lineRule="auto"/>
        <w:jc w:val="center"/>
      </w:pPr>
      <w:r>
        <w:drawing>
          <wp:inline xmlns:a="http://schemas.openxmlformats.org/drawingml/2006/main" xmlns:pic="http://schemas.openxmlformats.org/drawingml/2006/picture">
            <wp:extent cx="5400000" cy="5409789"/>
            <wp:docPr id="2" name="Picture 2"/>
            <wp:cNvGraphicFramePr>
              <a:graphicFrameLocks noChangeAspect="1"/>
            </wp:cNvGraphicFramePr>
            <a:graphic>
              <a:graphicData uri="http://schemas.openxmlformats.org/drawingml/2006/picture">
                <pic:pic>
                  <pic:nvPicPr>
                    <pic:cNvPr id="0" name="SuppFig2_calibration_12m.png"/>
                    <pic:cNvPicPr/>
                  </pic:nvPicPr>
                  <pic:blipFill>
                    <a:blip r:embed="rId10"/>
                    <a:stretch>
                      <a:fillRect/>
                    </a:stretch>
                  </pic:blipFill>
                  <pic:spPr>
                    <a:xfrm>
                      <a:off x="0" y="0"/>
                      <a:ext cx="5400000" cy="5409789"/>
                    </a:xfrm>
                    <a:prstGeom prst="rect"/>
                  </pic:spPr>
                </pic:pic>
              </a:graphicData>
            </a:graphic>
          </wp:inline>
        </w:drawing>
      </w:r>
    </w:p>
    <w:p>
      <w:pPr>
        <w:spacing w:before="0" w:after="200" w:line="276" w:lineRule="auto"/>
        <w:jc w:val="center"/>
      </w:pPr>
      <w:r>
        <w:rPr>
          <w:rFonts w:ascii="Times New Roman" w:hAnsi="Times New Roman"/>
          <w:i/>
          <w:color w:val="404040"/>
          <w:sz w:val="20"/>
        </w:rPr>
        <w:t>Predicted-risk quintiles versus observed 12-month event rates. Calibration slope = 1.51 and intercept = −0.98, indicating mild under-dispersion of predicted risks. These metrics should be interpreted in the context of n = 44 with 26 events and quasi-complete class separation; minor recalibration would be required for external use.</w:t>
      </w:r>
    </w:p>
    <w:p>
      <w:pPr>
        <w:keepNext/>
        <w:spacing w:before="280" w:after="160" w:line="288" w:lineRule="auto"/>
      </w:pPr>
      <w:r>
        <w:rPr>
          <w:rFonts w:ascii="Times New Roman" w:hAnsi="Times New Roman"/>
          <w:b/>
          <w:sz w:val="28"/>
        </w:rPr>
        <w:t>Supplemental Figure S3. Time-dependent AUC</w:t>
      </w:r>
    </w:p>
    <w:p>
      <w:pPr>
        <w:spacing w:before="160" w:after="40" w:line="240" w:lineRule="auto"/>
        <w:jc w:val="center"/>
      </w:pPr>
      <w:r>
        <w:drawing>
          <wp:inline xmlns:a="http://schemas.openxmlformats.org/drawingml/2006/main" xmlns:pic="http://schemas.openxmlformats.org/drawingml/2006/picture">
            <wp:extent cx="5400000" cy="3804471"/>
            <wp:docPr id="3" name="Picture 3"/>
            <wp:cNvGraphicFramePr>
              <a:graphicFrameLocks noChangeAspect="1"/>
            </wp:cNvGraphicFramePr>
            <a:graphic>
              <a:graphicData uri="http://schemas.openxmlformats.org/drawingml/2006/picture">
                <pic:pic>
                  <pic:nvPicPr>
                    <pic:cNvPr id="0" name="SuppFig3_tdroc.png"/>
                    <pic:cNvPicPr/>
                  </pic:nvPicPr>
                  <pic:blipFill>
                    <a:blip r:embed="rId11"/>
                    <a:stretch>
                      <a:fillRect/>
                    </a:stretch>
                  </pic:blipFill>
                  <pic:spPr>
                    <a:xfrm>
                      <a:off x="0" y="0"/>
                      <a:ext cx="5400000" cy="3804471"/>
                    </a:xfrm>
                    <a:prstGeom prst="rect"/>
                  </pic:spPr>
                </pic:pic>
              </a:graphicData>
            </a:graphic>
          </wp:inline>
        </w:drawing>
      </w:r>
    </w:p>
    <w:p>
      <w:pPr>
        <w:spacing w:before="0" w:after="200" w:line="276" w:lineRule="auto"/>
        <w:jc w:val="center"/>
      </w:pPr>
      <w:r>
        <w:rPr>
          <w:rFonts w:ascii="Times New Roman" w:hAnsi="Times New Roman"/>
          <w:i/>
          <w:color w:val="404040"/>
          <w:sz w:val="20"/>
        </w:rPr>
        <w:t>Time-dependent AUC of the day-14 JLCM-ctDNA classifier for EFS at 6 months (0.89), 12 months (1.00), 18 months (0.98), and 24 months (0.96). The AUC of 1.00 at 12 months reflects quasi-complete class separation at this landmark and should not be interpreted as a generalizable discrimination metric. Earlier and later landmark AUCs (6 m, 18 m, 24 m) provide more interpretable estimates.</w:t>
      </w:r>
    </w:p>
    <w:p>
      <w:pPr>
        <w:keepNext/>
        <w:spacing w:before="280" w:after="160" w:line="288" w:lineRule="auto"/>
      </w:pPr>
      <w:r>
        <w:rPr>
          <w:rFonts w:ascii="Times New Roman" w:hAnsi="Times New Roman"/>
          <w:b/>
          <w:sz w:val="28"/>
        </w:rPr>
        <w:t>Supplemental Figure S4. Decision-curve analysis at 12 months</w:t>
      </w:r>
    </w:p>
    <w:p>
      <w:pPr>
        <w:spacing w:before="160" w:after="40" w:line="240" w:lineRule="auto"/>
        <w:jc w:val="center"/>
      </w:pPr>
      <w:r>
        <w:drawing>
          <wp:inline xmlns:a="http://schemas.openxmlformats.org/drawingml/2006/main" xmlns:pic="http://schemas.openxmlformats.org/drawingml/2006/picture">
            <wp:extent cx="5400000" cy="3461873"/>
            <wp:docPr id="4" name="Picture 4"/>
            <wp:cNvGraphicFramePr>
              <a:graphicFrameLocks noChangeAspect="1"/>
            </wp:cNvGraphicFramePr>
            <a:graphic>
              <a:graphicData uri="http://schemas.openxmlformats.org/drawingml/2006/picture">
                <pic:pic>
                  <pic:nvPicPr>
                    <pic:cNvPr id="0" name="SuppFig4_dca_12m.png"/>
                    <pic:cNvPicPr/>
                  </pic:nvPicPr>
                  <pic:blipFill>
                    <a:blip r:embed="rId12"/>
                    <a:stretch>
                      <a:fillRect/>
                    </a:stretch>
                  </pic:blipFill>
                  <pic:spPr>
                    <a:xfrm>
                      <a:off x="0" y="0"/>
                      <a:ext cx="5400000" cy="3461873"/>
                    </a:xfrm>
                    <a:prstGeom prst="rect"/>
                  </pic:spPr>
                </pic:pic>
              </a:graphicData>
            </a:graphic>
          </wp:inline>
        </w:drawing>
      </w:r>
    </w:p>
    <w:p>
      <w:pPr>
        <w:spacing w:before="0" w:after="200" w:line="276" w:lineRule="auto"/>
        <w:jc w:val="center"/>
      </w:pPr>
      <w:r>
        <w:rPr>
          <w:rFonts w:ascii="Times New Roman" w:hAnsi="Times New Roman"/>
          <w:i/>
          <w:color w:val="404040"/>
          <w:sz w:val="20"/>
        </w:rPr>
        <w:t>Net benefit of the JLCM-ctDNA classifier versus IPI ≥3 and day-14 Deauville ≥4. Net benefit exceeds both alternatives across threshold probabilities of 0.11 to 0.85; below threshold 0.11 the classifier is numerically indistinguishable from treat-all.</w:t>
      </w:r>
    </w:p>
    <w:p>
      <w:pPr>
        <w:keepNext/>
        <w:spacing w:before="280" w:after="160" w:line="288" w:lineRule="auto"/>
      </w:pPr>
      <w:r>
        <w:rPr>
          <w:rFonts w:ascii="Times New Roman" w:hAnsi="Times New Roman"/>
          <w:b/>
          <w:sz w:val="28"/>
        </w:rPr>
        <w:t>Supplemental Figure S5. Bootstrap C-index distributions</w:t>
      </w:r>
    </w:p>
    <w:p>
      <w:pPr>
        <w:spacing w:before="160" w:after="40" w:line="240" w:lineRule="auto"/>
        <w:jc w:val="center"/>
      </w:pPr>
      <w:r>
        <w:drawing>
          <wp:inline xmlns:a="http://schemas.openxmlformats.org/drawingml/2006/main" xmlns:pic="http://schemas.openxmlformats.org/drawingml/2006/picture">
            <wp:extent cx="5400000" cy="2665740"/>
            <wp:docPr id="5" name="Picture 5"/>
            <wp:cNvGraphicFramePr>
              <a:graphicFrameLocks noChangeAspect="1"/>
            </wp:cNvGraphicFramePr>
            <a:graphic>
              <a:graphicData uri="http://schemas.openxmlformats.org/drawingml/2006/picture">
                <pic:pic>
                  <pic:nvPicPr>
                    <pic:cNvPr id="0" name="SuppFig5_bootstrap_cindex.png"/>
                    <pic:cNvPicPr/>
                  </pic:nvPicPr>
                  <pic:blipFill>
                    <a:blip r:embed="rId13"/>
                    <a:stretch>
                      <a:fillRect/>
                    </a:stretch>
                  </pic:blipFill>
                  <pic:spPr>
                    <a:xfrm>
                      <a:off x="0" y="0"/>
                      <a:ext cx="5400000" cy="2665740"/>
                    </a:xfrm>
                    <a:prstGeom prst="rect"/>
                  </pic:spPr>
                </pic:pic>
              </a:graphicData>
            </a:graphic>
          </wp:inline>
        </w:drawing>
      </w:r>
    </w:p>
    <w:p>
      <w:pPr>
        <w:spacing w:before="0" w:after="200" w:line="276" w:lineRule="auto"/>
        <w:jc w:val="center"/>
      </w:pPr>
      <w:r>
        <w:rPr>
          <w:rFonts w:ascii="Times New Roman" w:hAnsi="Times New Roman"/>
          <w:i/>
          <w:color w:val="404040"/>
          <w:sz w:val="20"/>
        </w:rPr>
        <w:t>1000-iteration percentile bootstrap C-index distributions. The univariable JLCM-ctDNA C-index has negligible .632+ optimism (−0.001 EFS, −0.003 OS), and is reported as the primary discrimination metric (0.81 EFS, 0.79 OS). By contrast, the multivariable C-index exhibits substantial optimism (+0.31 EFS, +0.28 OS), as expected for a 3-covariate Cox model in n = 44 with 26 events and quasi-complete class separation.</w:t>
      </w:r>
    </w:p>
    <w:p>
      <w:pPr>
        <w:keepNext/>
        <w:spacing w:before="280" w:after="160" w:line="288" w:lineRule="auto"/>
      </w:pPr>
      <w:r>
        <w:rPr>
          <w:rFonts w:ascii="Times New Roman" w:hAnsi="Times New Roman"/>
          <w:b/>
          <w:sz w:val="28"/>
        </w:rPr>
        <w:t>Supplemental Figure S6. Heatmap of individual ctDNA dynamics</w:t>
      </w:r>
    </w:p>
    <w:p>
      <w:pPr>
        <w:spacing w:before="160" w:after="40" w:line="240" w:lineRule="auto"/>
        <w:jc w:val="center"/>
      </w:pPr>
      <w:r>
        <w:drawing>
          <wp:inline xmlns:a="http://schemas.openxmlformats.org/drawingml/2006/main" xmlns:pic="http://schemas.openxmlformats.org/drawingml/2006/picture">
            <wp:extent cx="5400000" cy="5706707"/>
            <wp:docPr id="6" name="Picture 6"/>
            <wp:cNvGraphicFramePr>
              <a:graphicFrameLocks noChangeAspect="1"/>
            </wp:cNvGraphicFramePr>
            <a:graphic>
              <a:graphicData uri="http://schemas.openxmlformats.org/drawingml/2006/picture">
                <pic:pic>
                  <pic:nvPicPr>
                    <pic:cNvPr id="0" name="SuppFig6_heatmap_dynamics.png"/>
                    <pic:cNvPicPr/>
                  </pic:nvPicPr>
                  <pic:blipFill>
                    <a:blip r:embed="rId14"/>
                    <a:stretch>
                      <a:fillRect/>
                    </a:stretch>
                  </pic:blipFill>
                  <pic:spPr>
                    <a:xfrm>
                      <a:off x="0" y="0"/>
                      <a:ext cx="5400000" cy="5706707"/>
                    </a:xfrm>
                    <a:prstGeom prst="rect"/>
                  </pic:spPr>
                </pic:pic>
              </a:graphicData>
            </a:graphic>
          </wp:inline>
        </w:drawing>
      </w:r>
    </w:p>
    <w:p>
      <w:pPr>
        <w:spacing w:before="0" w:after="200" w:line="276" w:lineRule="auto"/>
        <w:jc w:val="center"/>
      </w:pPr>
      <w:r>
        <w:rPr>
          <w:rFonts w:ascii="Times New Roman" w:hAnsi="Times New Roman"/>
          <w:i/>
          <w:color w:val="404040"/>
          <w:sz w:val="20"/>
        </w:rPr>
        <w:t>Heatmap of individual log₁₀ hEG trajectories by day-14 JLCM-ctDNA class.</w:t>
      </w:r>
    </w:p>
    <w:p>
      <w:pPr>
        <w:keepNext/>
        <w:spacing w:before="280" w:after="160" w:line="288" w:lineRule="auto"/>
      </w:pPr>
      <w:r>
        <w:rPr>
          <w:rFonts w:ascii="Times New Roman" w:hAnsi="Times New Roman"/>
          <w:b/>
          <w:sz w:val="28"/>
        </w:rPr>
        <w:t>Supplemental Figure S7. Subgroup forest plot</w:t>
      </w:r>
    </w:p>
    <w:p>
      <w:pPr>
        <w:spacing w:before="160" w:after="40" w:line="240" w:lineRule="auto"/>
        <w:jc w:val="center"/>
      </w:pPr>
      <w:r>
        <w:drawing>
          <wp:inline xmlns:a="http://schemas.openxmlformats.org/drawingml/2006/main" xmlns:pic="http://schemas.openxmlformats.org/drawingml/2006/picture">
            <wp:extent cx="5400000" cy="3788157"/>
            <wp:docPr id="7" name="Picture 7"/>
            <wp:cNvGraphicFramePr>
              <a:graphicFrameLocks noChangeAspect="1"/>
            </wp:cNvGraphicFramePr>
            <a:graphic>
              <a:graphicData uri="http://schemas.openxmlformats.org/drawingml/2006/picture">
                <pic:pic>
                  <pic:nvPicPr>
                    <pic:cNvPr id="0" name="SuppFig7_forest_subgroups.png"/>
                    <pic:cNvPicPr/>
                  </pic:nvPicPr>
                  <pic:blipFill>
                    <a:blip r:embed="rId15"/>
                    <a:stretch>
                      <a:fillRect/>
                    </a:stretch>
                  </pic:blipFill>
                  <pic:spPr>
                    <a:xfrm>
                      <a:off x="0" y="0"/>
                      <a:ext cx="5400000" cy="3788157"/>
                    </a:xfrm>
                    <a:prstGeom prst="rect"/>
                  </pic:spPr>
                </pic:pic>
              </a:graphicData>
            </a:graphic>
          </wp:inline>
        </w:drawing>
      </w:r>
    </w:p>
    <w:p>
      <w:pPr>
        <w:spacing w:before="0" w:after="200" w:line="276" w:lineRule="auto"/>
        <w:jc w:val="center"/>
      </w:pPr>
      <w:r>
        <w:rPr>
          <w:rFonts w:ascii="Times New Roman" w:hAnsi="Times New Roman"/>
          <w:i/>
          <w:color w:val="404040"/>
          <w:sz w:val="20"/>
        </w:rPr>
        <w:t>Forest plot of EFS HR within pre-specified subgroups; Bonferroni-corrected interaction tests all non-significant.</w:t>
      </w:r>
    </w:p>
    <w:p>
      <w:pPr>
        <w:keepNext/>
        <w:spacing w:before="280" w:after="160" w:line="288" w:lineRule="auto"/>
      </w:pPr>
      <w:r>
        <w:rPr>
          <w:rFonts w:ascii="Times New Roman" w:hAnsi="Times New Roman"/>
          <w:b/>
          <w:sz w:val="28"/>
        </w:rPr>
        <w:t>Supplemental Figure S8. ctDNA dynamics per timepoint by JLCM class</w:t>
      </w:r>
    </w:p>
    <w:p>
      <w:pPr>
        <w:spacing w:before="160" w:after="40" w:line="240" w:lineRule="auto"/>
        <w:jc w:val="center"/>
      </w:pPr>
      <w:r>
        <w:drawing>
          <wp:inline xmlns:a="http://schemas.openxmlformats.org/drawingml/2006/main" xmlns:pic="http://schemas.openxmlformats.org/drawingml/2006/picture">
            <wp:extent cx="5400000" cy="3696798"/>
            <wp:docPr id="8" name="Picture 8"/>
            <wp:cNvGraphicFramePr>
              <a:graphicFrameLocks noChangeAspect="1"/>
            </wp:cNvGraphicFramePr>
            <a:graphic>
              <a:graphicData uri="http://schemas.openxmlformats.org/drawingml/2006/picture">
                <pic:pic>
                  <pic:nvPicPr>
                    <pic:cNvPr id="0" name="SuppFig8_mrd_dynamics.png"/>
                    <pic:cNvPicPr/>
                  </pic:nvPicPr>
                  <pic:blipFill>
                    <a:blip r:embed="rId16"/>
                    <a:stretch>
                      <a:fillRect/>
                    </a:stretch>
                  </pic:blipFill>
                  <pic:spPr>
                    <a:xfrm>
                      <a:off x="0" y="0"/>
                      <a:ext cx="5400000" cy="3696798"/>
                    </a:xfrm>
                    <a:prstGeom prst="rect"/>
                  </pic:spPr>
                </pic:pic>
              </a:graphicData>
            </a:graphic>
          </wp:inline>
        </w:drawing>
      </w:r>
    </w:p>
    <w:p>
      <w:pPr>
        <w:spacing w:before="0" w:after="200" w:line="276" w:lineRule="auto"/>
        <w:jc w:val="center"/>
      </w:pPr>
      <w:r>
        <w:rPr>
          <w:rFonts w:ascii="Times New Roman" w:hAnsi="Times New Roman"/>
          <w:i/>
          <w:color w:val="404040"/>
          <w:sz w:val="20"/>
        </w:rPr>
        <w:t>Boxplot of log₁₀ hEG per timepoint (baseline, day 14, months 1, 3, 6, 9, 12) stratified by day-14 JLCM-ctDNA class. Horizontal dashed line, imputation floor for log₁₀ transformation (log₁₀ = −6; 10⁻⁶ hEG). The analytical limit of detection (LOD) of the CAPP-Seq panel is approximately 0.5 hEG/mL; samples below the LOD were classified MRD-negative and assigned the imputation floor for plotting only. Note on M9/M12 identity in Table S9 (n=29 measured, 6 MRD-positive, median log₁₀ hEG=−6 at both timepoints): this aggregate identity is a biological coincidence rather than a recopy. Per-patient analysis (verify_m9_m12.py in package) shows 26 patients common to M9 and M12 (with 3 M9-only and 3 M12-only, total n=29 each), of whom 21 retained the same value (mostly persistent MRD-negatives at −6) and 11 changed value, including 5 patients who flipped MRD status between M9 and M12. Aggregate counts coincide while individual trajectories vary.</w:t>
      </w:r>
    </w:p>
    <w:p>
      <w:pPr>
        <w:keepNext/>
        <w:spacing w:before="280" w:after="160" w:line="288" w:lineRule="auto"/>
      </w:pPr>
      <w:r>
        <w:rPr>
          <w:rFonts w:ascii="Times New Roman" w:hAnsi="Times New Roman"/>
          <w:b/>
          <w:sz w:val="28"/>
        </w:rPr>
        <w:t>Supplemental Figure S9. Time to first MRD-negative sample by JLCM class</w:t>
      </w:r>
    </w:p>
    <w:p>
      <w:pPr>
        <w:spacing w:before="160" w:after="40" w:line="240" w:lineRule="auto"/>
        <w:jc w:val="center"/>
      </w:pPr>
      <w:r>
        <w:drawing>
          <wp:inline xmlns:a="http://schemas.openxmlformats.org/drawingml/2006/main" xmlns:pic="http://schemas.openxmlformats.org/drawingml/2006/picture">
            <wp:extent cx="5400000" cy="3987190"/>
            <wp:docPr id="9" name="Picture 9"/>
            <wp:cNvGraphicFramePr>
              <a:graphicFrameLocks noChangeAspect="1"/>
            </wp:cNvGraphicFramePr>
            <a:graphic>
              <a:graphicData uri="http://schemas.openxmlformats.org/drawingml/2006/picture">
                <pic:pic>
                  <pic:nvPicPr>
                    <pic:cNvPr id="0" name="SuppFig9_time_to_mrd.png"/>
                    <pic:cNvPicPr/>
                  </pic:nvPicPr>
                  <pic:blipFill>
                    <a:blip r:embed="rId17"/>
                    <a:stretch>
                      <a:fillRect/>
                    </a:stretch>
                  </pic:blipFill>
                  <pic:spPr>
                    <a:xfrm>
                      <a:off x="0" y="0"/>
                      <a:ext cx="5400000" cy="3987190"/>
                    </a:xfrm>
                    <a:prstGeom prst="rect"/>
                  </pic:spPr>
                </pic:pic>
              </a:graphicData>
            </a:graphic>
          </wp:inline>
        </w:drawing>
      </w:r>
    </w:p>
    <w:p>
      <w:pPr>
        <w:spacing w:before="0" w:after="200" w:line="276" w:lineRule="auto"/>
        <w:jc w:val="center"/>
      </w:pPr>
      <w:r>
        <w:rPr>
          <w:rFonts w:ascii="Times New Roman" w:hAnsi="Times New Roman"/>
          <w:i/>
          <w:color w:val="404040"/>
          <w:sz w:val="20"/>
        </w:rPr>
        <w:t>Kaplan-Meier cumulative incidence of MRD-negative status (event, first sample below the limit of detection) by day-14 JLCM-ctDNA class. Median time, 0.46 months (low-risk) versus 2.99 months (high-risk); log-rank P = .016.</w:t>
      </w:r>
    </w:p>
    <w:p>
      <w:pPr>
        <w:keepNext/>
        <w:spacing w:before="280" w:after="160" w:line="288" w:lineRule="auto"/>
      </w:pPr>
      <w:r>
        <w:rPr>
          <w:rFonts w:ascii="Times New Roman" w:hAnsi="Times New Roman"/>
          <w:b/>
          <w:sz w:val="28"/>
        </w:rPr>
        <w:t>Supplemental Figure S10. Concordance of JLCM-ctDNA and JLCM-Deauville</w:t>
      </w:r>
    </w:p>
    <w:p>
      <w:pPr>
        <w:spacing w:before="160" w:after="40" w:line="240" w:lineRule="auto"/>
        <w:jc w:val="center"/>
      </w:pPr>
      <w:r>
        <w:drawing>
          <wp:inline xmlns:a="http://schemas.openxmlformats.org/drawingml/2006/main" xmlns:pic="http://schemas.openxmlformats.org/drawingml/2006/picture">
            <wp:extent cx="5400000" cy="4548399"/>
            <wp:docPr id="10" name="Picture 10"/>
            <wp:cNvGraphicFramePr>
              <a:graphicFrameLocks noChangeAspect="1"/>
            </wp:cNvGraphicFramePr>
            <a:graphic>
              <a:graphicData uri="http://schemas.openxmlformats.org/drawingml/2006/picture">
                <pic:pic>
                  <pic:nvPicPr>
                    <pic:cNvPr id="0" name="SuppFig10_deauville_concordance.png"/>
                    <pic:cNvPicPr/>
                  </pic:nvPicPr>
                  <pic:blipFill>
                    <a:blip r:embed="rId18"/>
                    <a:stretch>
                      <a:fillRect/>
                    </a:stretch>
                  </pic:blipFill>
                  <pic:spPr>
                    <a:xfrm>
                      <a:off x="0" y="0"/>
                      <a:ext cx="5400000" cy="4548399"/>
                    </a:xfrm>
                    <a:prstGeom prst="rect"/>
                  </pic:spPr>
                </pic:pic>
              </a:graphicData>
            </a:graphic>
          </wp:inline>
        </w:drawing>
      </w:r>
    </w:p>
    <w:p>
      <w:pPr>
        <w:spacing w:before="0" w:after="200" w:line="276" w:lineRule="auto"/>
        <w:jc w:val="center"/>
      </w:pPr>
      <w:r>
        <w:rPr>
          <w:rFonts w:ascii="Times New Roman" w:hAnsi="Times New Roman"/>
          <w:i/>
          <w:color w:val="404040"/>
          <w:sz w:val="20"/>
        </w:rPr>
        <w:t>Crosstabulation of day-14 JLCM-ctDNA versus day-14 JLCM-Deauville classifications (n = 44 with both). Agreement, 56.8%; Cohen κ, 0.14. Most ctDNA-high-risk patients (15 of 22) were classified as Deauville-low-risk.</w:t>
      </w:r>
    </w:p>
    <w:p>
      <w:pPr>
        <w:keepNext/>
        <w:spacing w:before="280" w:after="160" w:line="288" w:lineRule="auto"/>
      </w:pPr>
      <w:r>
        <w:rPr>
          <w:rFonts w:ascii="Times New Roman" w:hAnsi="Times New Roman"/>
          <w:b/>
          <w:sz w:val="28"/>
        </w:rPr>
        <w:t>Supplemental Figure S11. Visual abstract</w:t>
      </w:r>
    </w:p>
    <w:p>
      <w:pPr>
        <w:spacing w:before="160" w:after="40" w:line="240" w:lineRule="auto"/>
        <w:jc w:val="center"/>
      </w:pPr>
      <w:r>
        <w:drawing>
          <wp:inline xmlns:a="http://schemas.openxmlformats.org/drawingml/2006/main" xmlns:pic="http://schemas.openxmlformats.org/drawingml/2006/picture">
            <wp:extent cx="5400000" cy="1918322"/>
            <wp:docPr id="11" name="Picture 11"/>
            <wp:cNvGraphicFramePr>
              <a:graphicFrameLocks noChangeAspect="1"/>
            </wp:cNvGraphicFramePr>
            <a:graphic>
              <a:graphicData uri="http://schemas.openxmlformats.org/drawingml/2006/picture">
                <pic:pic>
                  <pic:nvPicPr>
                    <pic:cNvPr id="0" name="Visual_abstract.png"/>
                    <pic:cNvPicPr/>
                  </pic:nvPicPr>
                  <pic:blipFill>
                    <a:blip r:embed="rId19"/>
                    <a:stretch>
                      <a:fillRect/>
                    </a:stretch>
                  </pic:blipFill>
                  <pic:spPr>
                    <a:xfrm>
                      <a:off x="0" y="0"/>
                      <a:ext cx="5400000" cy="1918322"/>
                    </a:xfrm>
                    <a:prstGeom prst="rect"/>
                  </pic:spPr>
                </pic:pic>
              </a:graphicData>
            </a:graphic>
          </wp:inline>
        </w:drawing>
      </w:r>
    </w:p>
    <w:p>
      <w:pPr>
        <w:spacing w:before="0" w:after="200" w:line="276" w:lineRule="auto"/>
        <w:jc w:val="center"/>
      </w:pPr>
      <w:r>
        <w:rPr>
          <w:rFonts w:ascii="Times New Roman" w:hAnsi="Times New Roman"/>
          <w:i/>
          <w:color w:val="404040"/>
          <w:sz w:val="20"/>
        </w:rPr>
        <w:t>Three-step visual summary of the JLCM training and day-14 deployment design.</w:t>
      </w:r>
    </w:p>
    <w:p>
      <w:pPr>
        <w:keepNext/>
        <w:spacing w:before="280" w:after="160" w:line="288" w:lineRule="auto"/>
      </w:pPr>
      <w:r>
        <w:rPr>
          <w:rFonts w:ascii="Times New Roman" w:hAnsi="Times New Roman"/>
          <w:b/>
          <w:sz w:val="28"/>
        </w:rPr>
        <w:t>Supplemental Figure S12. Theoretical trajectories (panel A of Figure 1)</w:t>
      </w:r>
    </w:p>
    <w:p>
      <w:pPr>
        <w:spacing w:before="160" w:after="40" w:line="240" w:lineRule="auto"/>
        <w:jc w:val="center"/>
      </w:pPr>
      <w:r>
        <w:drawing>
          <wp:inline xmlns:a="http://schemas.openxmlformats.org/drawingml/2006/main" xmlns:pic="http://schemas.openxmlformats.org/drawingml/2006/picture">
            <wp:extent cx="5400000" cy="2665614"/>
            <wp:docPr id="12" name="Picture 12"/>
            <wp:cNvGraphicFramePr>
              <a:graphicFrameLocks noChangeAspect="1"/>
            </wp:cNvGraphicFramePr>
            <a:graphic>
              <a:graphicData uri="http://schemas.openxmlformats.org/drawingml/2006/picture">
                <pic:pic>
                  <pic:nvPicPr>
                    <pic:cNvPr id="0" name="Fig1A_trajectories_theoretical.png"/>
                    <pic:cNvPicPr/>
                  </pic:nvPicPr>
                  <pic:blipFill>
                    <a:blip r:embed="rId20"/>
                    <a:stretch>
                      <a:fillRect/>
                    </a:stretch>
                  </pic:blipFill>
                  <pic:spPr>
                    <a:xfrm>
                      <a:off x="0" y="0"/>
                      <a:ext cx="5400000" cy="2665614"/>
                    </a:xfrm>
                    <a:prstGeom prst="rect"/>
                  </pic:spPr>
                </pic:pic>
              </a:graphicData>
            </a:graphic>
          </wp:inline>
        </w:drawing>
      </w:r>
    </w:p>
    <w:p>
      <w:pPr>
        <w:spacing w:before="0" w:after="200" w:line="276" w:lineRule="auto"/>
        <w:jc w:val="center"/>
      </w:pPr>
      <w:r>
        <w:rPr>
          <w:rFonts w:ascii="Times New Roman" w:hAnsi="Times New Roman"/>
          <w:i/>
          <w:color w:val="404040"/>
          <w:sz w:val="20"/>
        </w:rPr>
        <w:t>Theoretical mean trajectories alone (panel A of main Figure 1).</w:t>
      </w:r>
    </w:p>
    <w:p>
      <w:pPr>
        <w:keepNext/>
        <w:spacing w:before="280" w:after="160" w:line="288" w:lineRule="auto"/>
      </w:pPr>
      <w:r>
        <w:rPr>
          <w:rFonts w:ascii="Times New Roman" w:hAnsi="Times New Roman"/>
          <w:b/>
          <w:sz w:val="28"/>
        </w:rPr>
        <w:t>Supplemental Tables</w:t>
      </w:r>
    </w:p>
    <w:p>
      <w:pPr>
        <w:keepNext/>
        <w:spacing w:before="200" w:after="120" w:line="288" w:lineRule="auto"/>
      </w:pPr>
      <w:r>
        <w:rPr>
          <w:rFonts w:ascii="Times New Roman" w:hAnsi="Times New Roman"/>
          <w:b/>
          <w:i/>
          <w:sz w:val="26"/>
        </w:rPr>
        <w:t>Supplemental Table S1. Missingness pattern of ctDNA timepoints and clinical covariates</w:t>
      </w:r>
    </w:p>
    <w:p>
      <w:pPr>
        <w:spacing w:before="0" w:after="120" w:line="276" w:lineRule="auto"/>
      </w:pPr>
      <w:r>
        <w:rPr>
          <w:rFonts w:ascii="Times New Roman" w:hAnsi="Times New Roman"/>
          <w:b w:val="0"/>
          <w:i w:val="0"/>
          <w:sz w:val="24"/>
        </w:rPr>
        <w:t>[Source table missing: missingness.csv]</w:t>
      </w:r>
    </w:p>
    <w:p>
      <w:pPr>
        <w:keepNext/>
        <w:spacing w:before="200" w:after="120" w:line="288" w:lineRule="auto"/>
      </w:pPr>
      <w:r>
        <w:rPr>
          <w:rFonts w:ascii="Times New Roman" w:hAnsi="Times New Roman"/>
          <w:b/>
          <w:i/>
          <w:sz w:val="26"/>
        </w:rPr>
        <w:t>Supplemental Table S2. Bootstrap C-index (1000 iterations) summary</w:t>
      </w:r>
    </w:p>
    <w:p>
      <w:pPr>
        <w:spacing w:before="0" w:after="120" w:line="276" w:lineRule="auto"/>
      </w:pPr>
      <w:r>
        <w:rPr>
          <w:rFonts w:ascii="Times New Roman" w:hAnsi="Times New Roman"/>
          <w:b w:val="0"/>
          <w:i w:val="0"/>
          <w:sz w:val="24"/>
        </w:rPr>
        <w:t>[Source table missing: bootstrap_cindex.csv]</w:t>
      </w:r>
    </w:p>
    <w:p>
      <w:pPr>
        <w:spacing w:before="0" w:after="120" w:line="312" w:lineRule="auto"/>
        <w:jc w:val="both"/>
      </w:pPr>
      <w:r>
        <w:rPr>
          <w:rFonts w:ascii="Times New Roman" w:hAnsi="Times New Roman"/>
          <w:b w:val="0"/>
          <w:i w:val="0"/>
          <w:sz w:val="21"/>
        </w:rPr>
        <w:t>Apparent and .632+ bootstrap-corrected Harrell C-index. The univariable JLCM-ctDNA C-index has negligible optimism (−0.001 EFS, −0.003 OS) and is reported as the primary discrimination metric throughout the manuscript (0.81 EFS, 0.79 OS). The multivariable C-index exhibits severe optimism (+0.31 EFS, +0.28 OS); the corresponding bootstrap-corrected estimates (0.52 EFS, 0.53 OS) reflect the expected overfitting of a 3-covariate Cox model in 44 patients with 26 events and quasi-complete class separation, and are not interpreted as generalizable performance metrics. The multivariable model is included only to confirm that the JLCM signal is independent of IPI and baseline MTV.</w:t>
      </w:r>
    </w:p>
    <w:p>
      <w:pPr>
        <w:keepNext/>
        <w:spacing w:before="200" w:after="120" w:line="288" w:lineRule="auto"/>
      </w:pPr>
      <w:r>
        <w:rPr>
          <w:rFonts w:ascii="Times New Roman" w:hAnsi="Times New Roman"/>
          <w:b/>
          <w:i/>
          <w:sz w:val="26"/>
        </w:rPr>
        <w:t>Supplemental Table S3. Schoenfeld proportional-hazards test results</w:t>
      </w:r>
    </w:p>
    <w:p>
      <w:pPr>
        <w:spacing w:before="0" w:after="120" w:line="276" w:lineRule="auto"/>
      </w:pPr>
      <w:r>
        <w:rPr>
          <w:rFonts w:ascii="Times New Roman" w:hAnsi="Times New Roman"/>
          <w:b w:val="0"/>
          <w:i w:val="0"/>
          <w:sz w:val="24"/>
        </w:rPr>
        <w:t>[Source table missing: schoenfeld.csv]</w:t>
      </w:r>
    </w:p>
    <w:p>
      <w:pPr>
        <w:keepNext/>
        <w:spacing w:before="200" w:after="120" w:line="288" w:lineRule="auto"/>
      </w:pPr>
      <w:r>
        <w:rPr>
          <w:rFonts w:ascii="Times New Roman" w:hAnsi="Times New Roman"/>
          <w:b/>
          <w:i/>
          <w:sz w:val="26"/>
        </w:rPr>
        <w:t>Supplemental Table S4. Calibration metrics at 12 months</w:t>
      </w:r>
    </w:p>
    <w:p>
      <w:pPr>
        <w:spacing w:before="0" w:after="120" w:line="276" w:lineRule="auto"/>
      </w:pPr>
      <w:r>
        <w:rPr>
          <w:rFonts w:ascii="Times New Roman" w:hAnsi="Times New Roman"/>
          <w:b w:val="0"/>
          <w:i w:val="0"/>
          <w:sz w:val="24"/>
        </w:rPr>
        <w:t>[Source table missing: calibration_in_the_large.csv]</w:t>
      </w:r>
    </w:p>
    <w:p>
      <w:pPr>
        <w:spacing w:before="0" w:after="120" w:line="312" w:lineRule="auto"/>
        <w:jc w:val="both"/>
      </w:pPr>
      <w:r>
        <w:rPr>
          <w:rFonts w:ascii="Times New Roman" w:hAnsi="Times New Roman"/>
          <w:b w:val="0"/>
          <w:i w:val="0"/>
          <w:sz w:val="21"/>
        </w:rPr>
        <w:t>Calibration slope (1.51) and intercept (−0.98) reported. These metrics indicate mild under-dispersion of predicted risks and that minor recalibration would be required for external use; they should be interpreted in the context of n = 44 with 26 events.</w:t>
      </w:r>
    </w:p>
    <w:p>
      <w:pPr>
        <w:keepNext/>
        <w:spacing w:before="200" w:after="120" w:line="288" w:lineRule="auto"/>
      </w:pPr>
      <w:r>
        <w:rPr>
          <w:rFonts w:ascii="Times New Roman" w:hAnsi="Times New Roman"/>
          <w:b/>
          <w:i/>
          <w:sz w:val="26"/>
        </w:rPr>
        <w:t>Supplemental Table S5. Time-dependent AUC at 6, 12, 18, and 24 months</w:t>
      </w:r>
    </w:p>
    <w:p>
      <w:pPr>
        <w:spacing w:before="0" w:after="120" w:line="276" w:lineRule="auto"/>
      </w:pPr>
      <w:r>
        <w:rPr>
          <w:rFonts w:ascii="Times New Roman" w:hAnsi="Times New Roman"/>
          <w:b w:val="0"/>
          <w:i w:val="0"/>
          <w:sz w:val="24"/>
        </w:rPr>
        <w:t>[Source table missing: tdroc.csv]</w:t>
      </w:r>
    </w:p>
    <w:p>
      <w:pPr>
        <w:spacing w:before="0" w:after="120" w:line="312" w:lineRule="auto"/>
        <w:jc w:val="both"/>
      </w:pPr>
      <w:r>
        <w:rPr>
          <w:rFonts w:ascii="Times New Roman" w:hAnsi="Times New Roman"/>
          <w:b w:val="0"/>
          <w:i w:val="0"/>
          <w:sz w:val="21"/>
        </w:rPr>
        <w:t>AUC at 12 months is 1.00 and reflects quasi-complete class separation at that landmark, not a generalizable metric. AUCs at 6 months (0.89), 18 months (0.98), and 24 months (0.96) provide more interpretable estimates of generalizable discrimination.</w:t>
      </w:r>
    </w:p>
    <w:p>
      <w:pPr>
        <w:keepNext/>
        <w:spacing w:before="200" w:after="120" w:line="288" w:lineRule="auto"/>
      </w:pPr>
      <w:r>
        <w:rPr>
          <w:rFonts w:ascii="Times New Roman" w:hAnsi="Times New Roman"/>
          <w:b/>
          <w:i/>
          <w:sz w:val="26"/>
        </w:rPr>
        <w:t>Supplemental Table S6. Decision-curve analysis coordinates at 12 months</w:t>
      </w:r>
    </w:p>
    <w:p>
      <w:pPr>
        <w:spacing w:before="0" w:after="120" w:line="276" w:lineRule="auto"/>
      </w:pPr>
      <w:r>
        <w:rPr>
          <w:rFonts w:ascii="Times New Roman" w:hAnsi="Times New Roman"/>
          <w:b w:val="0"/>
          <w:i w:val="0"/>
          <w:sz w:val="24"/>
        </w:rPr>
        <w:t>[Source table missing: dca_12m.csv]</w:t>
      </w:r>
    </w:p>
    <w:p>
      <w:pPr>
        <w:spacing w:before="0" w:after="120" w:line="312" w:lineRule="auto"/>
        <w:jc w:val="both"/>
      </w:pPr>
      <w:r>
        <w:rPr>
          <w:rFonts w:ascii="Times New Roman" w:hAnsi="Times New Roman"/>
          <w:b w:val="0"/>
          <w:i w:val="0"/>
          <w:sz w:val="21"/>
        </w:rPr>
        <w:t>Net benefit of the JLCM-ctDNA classifier exceeds IPI ≥3 and Deauville ≥4 across threshold probabilities of 0.11 to 0.85; below threshold 0.11 the classifier is numerically indistinguishable from treat-all, as confirmed empirically in the coordinates above.</w:t>
      </w:r>
    </w:p>
    <w:p>
      <w:pPr>
        <w:keepNext/>
        <w:spacing w:before="200" w:after="120" w:line="288" w:lineRule="auto"/>
      </w:pPr>
      <w:r>
        <w:rPr>
          <w:rFonts w:ascii="Times New Roman" w:hAnsi="Times New Roman"/>
          <w:b/>
          <w:i/>
          <w:sz w:val="26"/>
        </w:rPr>
        <w:t>Supplemental Table S7. Permutation log-rank P values (10 000 permutations)</w:t>
      </w:r>
    </w:p>
    <w:p>
      <w:pPr>
        <w:spacing w:before="0" w:after="120" w:line="276" w:lineRule="auto"/>
      </w:pPr>
      <w:r>
        <w:rPr>
          <w:rFonts w:ascii="Times New Roman" w:hAnsi="Times New Roman"/>
          <w:b w:val="0"/>
          <w:i w:val="0"/>
          <w:sz w:val="24"/>
        </w:rPr>
        <w:t>[Source table missing: permutation_logrank.csv]</w:t>
      </w:r>
    </w:p>
    <w:p>
      <w:pPr>
        <w:keepNext/>
        <w:spacing w:before="200" w:after="120" w:line="288" w:lineRule="auto"/>
      </w:pPr>
      <w:r>
        <w:rPr>
          <w:rFonts w:ascii="Times New Roman" w:hAnsi="Times New Roman"/>
          <w:b/>
          <w:i/>
          <w:sz w:val="26"/>
        </w:rPr>
        <w:t>Supplemental Table S8. Subgroup interactions with Bonferroni correction</w:t>
      </w:r>
    </w:p>
    <w:p>
      <w:pPr>
        <w:spacing w:before="0" w:after="120" w:line="276" w:lineRule="auto"/>
      </w:pPr>
      <w:r>
        <w:rPr>
          <w:rFonts w:ascii="Times New Roman" w:hAnsi="Times New Roman"/>
          <w:b w:val="0"/>
          <w:i w:val="0"/>
          <w:sz w:val="24"/>
        </w:rPr>
        <w:t>[Source table missing: subgroup_interactions.csv]</w:t>
      </w:r>
    </w:p>
    <w:p>
      <w:pPr>
        <w:keepNext/>
        <w:spacing w:before="200" w:after="120" w:line="288" w:lineRule="auto"/>
      </w:pPr>
      <w:r>
        <w:rPr>
          <w:rFonts w:ascii="Times New Roman" w:hAnsi="Times New Roman"/>
          <w:b/>
          <w:i/>
          <w:sz w:val="26"/>
        </w:rPr>
        <w:t>Supplemental Table S9. Descriptive MRD statistics per timepoint, overall and by JLCM class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E7E6E6"/>
          </w:tcPr>
          <w:p>
            <w:pPr>
              <w:spacing w:before="0" w:after="0" w:line="264" w:lineRule="auto"/>
            </w:pPr>
            <w:r/>
            <w:r>
              <w:rPr>
                <w:rFonts w:ascii="Times New Roman" w:hAnsi="Times New Roman"/>
                <w:b/>
                <w:i w:val="0"/>
                <w:sz w:val="20"/>
              </w:rPr>
              <w:t>timepoint</w:t>
            </w:r>
          </w:p>
        </w:tc>
        <w:tc>
          <w:tcPr>
            <w:tcW w:type="dxa" w:w="1568"/>
            <w:vAlign w:val="center"/>
            <w:shd w:val="clear" w:color="auto" w:fill="E7E6E6"/>
          </w:tcPr>
          <w:p>
            <w:pPr>
              <w:spacing w:before="0" w:after="0" w:line="264" w:lineRule="auto"/>
            </w:pPr>
            <w:r/>
            <w:r>
              <w:rPr>
                <w:rFonts w:ascii="Times New Roman" w:hAnsi="Times New Roman"/>
                <w:b/>
                <w:i w:val="0"/>
                <w:sz w:val="20"/>
              </w:rPr>
              <w:t>class</w:t>
            </w:r>
          </w:p>
        </w:tc>
        <w:tc>
          <w:tcPr>
            <w:tcW w:type="dxa" w:w="1568"/>
            <w:vAlign w:val="center"/>
            <w:shd w:val="clear" w:color="auto" w:fill="E7E6E6"/>
          </w:tcPr>
          <w:p>
            <w:pPr>
              <w:spacing w:before="0" w:after="0" w:line="264" w:lineRule="auto"/>
            </w:pPr>
            <w:r/>
            <w:r>
              <w:rPr>
                <w:rFonts w:ascii="Times New Roman" w:hAnsi="Times New Roman"/>
                <w:b/>
                <w:i w:val="0"/>
                <w:sz w:val="20"/>
              </w:rPr>
              <w:t>n_measured</w:t>
            </w:r>
          </w:p>
        </w:tc>
        <w:tc>
          <w:tcPr>
            <w:tcW w:type="dxa" w:w="1568"/>
            <w:vAlign w:val="center"/>
            <w:shd w:val="clear" w:color="auto" w:fill="E7E6E6"/>
          </w:tcPr>
          <w:p>
            <w:pPr>
              <w:spacing w:before="0" w:after="0" w:line="264" w:lineRule="auto"/>
            </w:pPr>
            <w:r/>
            <w:r>
              <w:rPr>
                <w:rFonts w:ascii="Times New Roman" w:hAnsi="Times New Roman"/>
                <w:b/>
                <w:i w:val="0"/>
                <w:sz w:val="20"/>
              </w:rPr>
              <w:t>n_MRD_pos</w:t>
            </w:r>
          </w:p>
        </w:tc>
        <w:tc>
          <w:tcPr>
            <w:tcW w:type="dxa" w:w="1568"/>
            <w:vAlign w:val="center"/>
            <w:shd w:val="clear" w:color="auto" w:fill="E7E6E6"/>
          </w:tcPr>
          <w:p>
            <w:pPr>
              <w:spacing w:before="0" w:after="0" w:line="264" w:lineRule="auto"/>
            </w:pPr>
            <w:r/>
            <w:r>
              <w:rPr>
                <w:rFonts w:ascii="Times New Roman" w:hAnsi="Times New Roman"/>
                <w:b/>
                <w:i w:val="0"/>
                <w:sz w:val="20"/>
              </w:rPr>
              <w:t>pct_MRD_pos</w:t>
            </w:r>
          </w:p>
        </w:tc>
        <w:tc>
          <w:tcPr>
            <w:tcW w:type="dxa" w:w="1568"/>
            <w:vAlign w:val="center"/>
            <w:shd w:val="clear" w:color="auto" w:fill="E7E6E6"/>
          </w:tcPr>
          <w:p>
            <w:pPr>
              <w:spacing w:before="0" w:after="0" w:line="264" w:lineRule="auto"/>
            </w:pPr>
            <w:r/>
            <w:r>
              <w:rPr>
                <w:rFonts w:ascii="Times New Roman" w:hAnsi="Times New Roman"/>
                <w:b/>
                <w:i w:val="0"/>
                <w:sz w:val="20"/>
              </w:rPr>
              <w:t>median_log10hEG (IQR)</w:t>
            </w:r>
          </w:p>
        </w:tc>
      </w:tr>
      <w:tr>
        <w:tc>
          <w:tcPr>
            <w:tcW w:type="dxa" w:w="1568"/>
            <w:vAlign w:val="center"/>
          </w:tcPr>
          <w:p>
            <w:pPr>
              <w:spacing w:before="0" w:after="0" w:line="264" w:lineRule="auto"/>
            </w:pPr>
            <w:r/>
            <w:r>
              <w:rPr>
                <w:rFonts w:ascii="Times New Roman" w:hAnsi="Times New Roman"/>
                <w:b w:val="0"/>
                <w:i w:val="0"/>
                <w:sz w:val="20"/>
              </w:rPr>
              <w:t>Baseline</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54</w:t>
            </w:r>
          </w:p>
        </w:tc>
        <w:tc>
          <w:tcPr>
            <w:tcW w:type="dxa" w:w="1568"/>
            <w:vAlign w:val="center"/>
          </w:tcPr>
          <w:p>
            <w:pPr>
              <w:spacing w:before="0" w:after="0" w:line="264" w:lineRule="auto"/>
            </w:pPr>
            <w:r/>
            <w:r>
              <w:rPr>
                <w:rFonts w:ascii="Times New Roman" w:hAnsi="Times New Roman"/>
                <w:b w:val="0"/>
                <w:i w:val="0"/>
                <w:sz w:val="20"/>
              </w:rPr>
              <w:t>50</w:t>
            </w:r>
          </w:p>
        </w:tc>
        <w:tc>
          <w:tcPr>
            <w:tcW w:type="dxa" w:w="1568"/>
            <w:vAlign w:val="center"/>
          </w:tcPr>
          <w:p>
            <w:pPr>
              <w:spacing w:before="0" w:after="0" w:line="264" w:lineRule="auto"/>
            </w:pPr>
            <w:r/>
            <w:r>
              <w:rPr>
                <w:rFonts w:ascii="Times New Roman" w:hAnsi="Times New Roman"/>
                <w:b w:val="0"/>
                <w:i w:val="0"/>
                <w:sz w:val="20"/>
              </w:rPr>
              <w:t>92.6</w:t>
            </w:r>
          </w:p>
        </w:tc>
        <w:tc>
          <w:tcPr>
            <w:tcW w:type="dxa" w:w="1568"/>
            <w:vAlign w:val="center"/>
          </w:tcPr>
          <w:p>
            <w:pPr>
              <w:spacing w:before="0" w:after="0" w:line="264" w:lineRule="auto"/>
            </w:pPr>
            <w:r/>
            <w:r>
              <w:rPr>
                <w:rFonts w:ascii="Times New Roman" w:hAnsi="Times New Roman"/>
                <w:b w:val="0"/>
                <w:i w:val="0"/>
                <w:sz w:val="20"/>
              </w:rPr>
              <w:t>0.43 (0.13-0.56)</w:t>
            </w:r>
          </w:p>
        </w:tc>
      </w:tr>
      <w:tr>
        <w:tc>
          <w:tcPr>
            <w:tcW w:type="dxa" w:w="1568"/>
            <w:vAlign w:val="center"/>
          </w:tcPr>
          <w:p>
            <w:pPr>
              <w:spacing w:before="0" w:after="0" w:line="264" w:lineRule="auto"/>
            </w:pPr>
            <w:r/>
            <w:r>
              <w:rPr>
                <w:rFonts w:ascii="Times New Roman" w:hAnsi="Times New Roman"/>
                <w:b w:val="0"/>
                <w:i w:val="0"/>
                <w:sz w:val="20"/>
              </w:rPr>
              <w:t>D14</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51</w:t>
            </w:r>
          </w:p>
        </w:tc>
        <w:tc>
          <w:tcPr>
            <w:tcW w:type="dxa" w:w="1568"/>
            <w:vAlign w:val="center"/>
          </w:tcPr>
          <w:p>
            <w:pPr>
              <w:spacing w:before="0" w:after="0" w:line="264" w:lineRule="auto"/>
            </w:pPr>
            <w:r/>
            <w:r>
              <w:rPr>
                <w:rFonts w:ascii="Times New Roman" w:hAnsi="Times New Roman"/>
                <w:b w:val="0"/>
                <w:i w:val="0"/>
                <w:sz w:val="20"/>
              </w:rPr>
              <w:t>36</w:t>
            </w:r>
          </w:p>
        </w:tc>
        <w:tc>
          <w:tcPr>
            <w:tcW w:type="dxa" w:w="1568"/>
            <w:vAlign w:val="center"/>
          </w:tcPr>
          <w:p>
            <w:pPr>
              <w:spacing w:before="0" w:after="0" w:line="264" w:lineRule="auto"/>
            </w:pPr>
            <w:r/>
            <w:r>
              <w:rPr>
                <w:rFonts w:ascii="Times New Roman" w:hAnsi="Times New Roman"/>
                <w:b w:val="0"/>
                <w:i w:val="0"/>
                <w:sz w:val="20"/>
              </w:rPr>
              <w:t>70.6</w:t>
            </w:r>
          </w:p>
        </w:tc>
        <w:tc>
          <w:tcPr>
            <w:tcW w:type="dxa" w:w="1568"/>
            <w:vAlign w:val="center"/>
          </w:tcPr>
          <w:p>
            <w:pPr>
              <w:spacing w:before="0" w:after="0" w:line="264" w:lineRule="auto"/>
            </w:pPr>
            <w:r/>
            <w:r>
              <w:rPr>
                <w:rFonts w:ascii="Times New Roman" w:hAnsi="Times New Roman"/>
                <w:b w:val="0"/>
                <w:i w:val="0"/>
                <w:sz w:val="20"/>
              </w:rPr>
              <w:t>-0.06 (-6.00-0.34)</w:t>
            </w:r>
          </w:p>
        </w:tc>
      </w:tr>
      <w:tr>
        <w:tc>
          <w:tcPr>
            <w:tcW w:type="dxa" w:w="1568"/>
            <w:vAlign w:val="center"/>
          </w:tcPr>
          <w:p>
            <w:pPr>
              <w:spacing w:before="0" w:after="0" w:line="264" w:lineRule="auto"/>
            </w:pPr>
            <w:r/>
            <w:r>
              <w:rPr>
                <w:rFonts w:ascii="Times New Roman" w:hAnsi="Times New Roman"/>
                <w:b w:val="0"/>
                <w:i w:val="0"/>
                <w:sz w:val="20"/>
              </w:rPr>
              <w:t>M1</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49</w:t>
            </w:r>
          </w:p>
        </w:tc>
        <w:tc>
          <w:tcPr>
            <w:tcW w:type="dxa" w:w="1568"/>
            <w:vAlign w:val="center"/>
          </w:tcPr>
          <w:p>
            <w:pPr>
              <w:spacing w:before="0" w:after="0" w:line="264" w:lineRule="auto"/>
            </w:pPr>
            <w:r/>
            <w:r>
              <w:rPr>
                <w:rFonts w:ascii="Times New Roman" w:hAnsi="Times New Roman"/>
                <w:b w:val="0"/>
                <w:i w:val="0"/>
                <w:sz w:val="20"/>
              </w:rPr>
              <w:t>24</w:t>
            </w:r>
          </w:p>
        </w:tc>
        <w:tc>
          <w:tcPr>
            <w:tcW w:type="dxa" w:w="1568"/>
            <w:vAlign w:val="center"/>
          </w:tcPr>
          <w:p>
            <w:pPr>
              <w:spacing w:before="0" w:after="0" w:line="264" w:lineRule="auto"/>
            </w:pPr>
            <w:r/>
            <w:r>
              <w:rPr>
                <w:rFonts w:ascii="Times New Roman" w:hAnsi="Times New Roman"/>
                <w:b w:val="0"/>
                <w:i w:val="0"/>
                <w:sz w:val="20"/>
              </w:rPr>
              <w:t>49.0</w:t>
            </w:r>
          </w:p>
        </w:tc>
        <w:tc>
          <w:tcPr>
            <w:tcW w:type="dxa" w:w="1568"/>
            <w:vAlign w:val="center"/>
          </w:tcPr>
          <w:p>
            <w:pPr>
              <w:spacing w:before="0" w:after="0" w:line="264" w:lineRule="auto"/>
            </w:pPr>
            <w:r/>
            <w:r>
              <w:rPr>
                <w:rFonts w:ascii="Times New Roman" w:hAnsi="Times New Roman"/>
                <w:b w:val="0"/>
                <w:i w:val="0"/>
                <w:sz w:val="20"/>
              </w:rPr>
              <w:t>-6.00 (-6.00-0.26)</w:t>
            </w:r>
          </w:p>
        </w:tc>
      </w:tr>
      <w:tr>
        <w:tc>
          <w:tcPr>
            <w:tcW w:type="dxa" w:w="1568"/>
            <w:vAlign w:val="center"/>
          </w:tcPr>
          <w:p>
            <w:pPr>
              <w:spacing w:before="0" w:after="0" w:line="264" w:lineRule="auto"/>
            </w:pPr>
            <w:r/>
            <w:r>
              <w:rPr>
                <w:rFonts w:ascii="Times New Roman" w:hAnsi="Times New Roman"/>
                <w:b w:val="0"/>
                <w:i w:val="0"/>
                <w:sz w:val="20"/>
              </w:rPr>
              <w:t>M3</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45</w:t>
            </w:r>
          </w:p>
        </w:tc>
        <w:tc>
          <w:tcPr>
            <w:tcW w:type="dxa" w:w="1568"/>
            <w:vAlign w:val="center"/>
          </w:tcPr>
          <w:p>
            <w:pPr>
              <w:spacing w:before="0" w:after="0" w:line="264" w:lineRule="auto"/>
            </w:pPr>
            <w:r/>
            <w:r>
              <w:rPr>
                <w:rFonts w:ascii="Times New Roman" w:hAnsi="Times New Roman"/>
                <w:b w:val="0"/>
                <w:i w:val="0"/>
                <w:sz w:val="20"/>
              </w:rPr>
              <w:t>12</w:t>
            </w:r>
          </w:p>
        </w:tc>
        <w:tc>
          <w:tcPr>
            <w:tcW w:type="dxa" w:w="1568"/>
            <w:vAlign w:val="center"/>
          </w:tcPr>
          <w:p>
            <w:pPr>
              <w:spacing w:before="0" w:after="0" w:line="264" w:lineRule="auto"/>
            </w:pPr>
            <w:r/>
            <w:r>
              <w:rPr>
                <w:rFonts w:ascii="Times New Roman" w:hAnsi="Times New Roman"/>
                <w:b w:val="0"/>
                <w:i w:val="0"/>
                <w:sz w:val="20"/>
              </w:rPr>
              <w:t>26.7</w:t>
            </w:r>
          </w:p>
        </w:tc>
        <w:tc>
          <w:tcPr>
            <w:tcW w:type="dxa" w:w="1568"/>
            <w:vAlign w:val="center"/>
          </w:tcPr>
          <w:p>
            <w:pPr>
              <w:spacing w:before="0" w:after="0" w:line="264" w:lineRule="auto"/>
            </w:pPr>
            <w:r/>
            <w:r>
              <w:rPr>
                <w:rFonts w:ascii="Times New Roman" w:hAnsi="Times New Roman"/>
                <w:b w:val="0"/>
                <w:i w:val="0"/>
                <w:sz w:val="20"/>
              </w:rPr>
              <w:t>-6.00 (-6.00--0.98)</w:t>
            </w:r>
          </w:p>
        </w:tc>
      </w:tr>
      <w:tr>
        <w:tc>
          <w:tcPr>
            <w:tcW w:type="dxa" w:w="1568"/>
            <w:vAlign w:val="center"/>
          </w:tcPr>
          <w:p>
            <w:pPr>
              <w:spacing w:before="0" w:after="0" w:line="264" w:lineRule="auto"/>
            </w:pPr>
            <w:r/>
            <w:r>
              <w:rPr>
                <w:rFonts w:ascii="Times New Roman" w:hAnsi="Times New Roman"/>
                <w:b w:val="0"/>
                <w:i w:val="0"/>
                <w:sz w:val="20"/>
              </w:rPr>
              <w:t>M6</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36</w:t>
            </w:r>
          </w:p>
        </w:tc>
        <w:tc>
          <w:tcPr>
            <w:tcW w:type="dxa" w:w="1568"/>
            <w:vAlign w:val="center"/>
          </w:tcPr>
          <w:p>
            <w:pPr>
              <w:spacing w:before="0" w:after="0" w:line="264" w:lineRule="auto"/>
            </w:pPr>
            <w:r/>
            <w:r>
              <w:rPr>
                <w:rFonts w:ascii="Times New Roman" w:hAnsi="Times New Roman"/>
                <w:b w:val="0"/>
                <w:i w:val="0"/>
                <w:sz w:val="20"/>
              </w:rPr>
              <w:t>10</w:t>
            </w:r>
          </w:p>
        </w:tc>
        <w:tc>
          <w:tcPr>
            <w:tcW w:type="dxa" w:w="1568"/>
            <w:vAlign w:val="center"/>
          </w:tcPr>
          <w:p>
            <w:pPr>
              <w:spacing w:before="0" w:after="0" w:line="264" w:lineRule="auto"/>
            </w:pPr>
            <w:r/>
            <w:r>
              <w:rPr>
                <w:rFonts w:ascii="Times New Roman" w:hAnsi="Times New Roman"/>
                <w:b w:val="0"/>
                <w:i w:val="0"/>
                <w:sz w:val="20"/>
              </w:rPr>
              <w:t>27.8</w:t>
            </w:r>
          </w:p>
        </w:tc>
        <w:tc>
          <w:tcPr>
            <w:tcW w:type="dxa" w:w="1568"/>
            <w:vAlign w:val="center"/>
          </w:tcPr>
          <w:p>
            <w:pPr>
              <w:spacing w:before="0" w:after="0" w:line="264" w:lineRule="auto"/>
            </w:pPr>
            <w:r/>
            <w:r>
              <w:rPr>
                <w:rFonts w:ascii="Times New Roman" w:hAnsi="Times New Roman"/>
                <w:b w:val="0"/>
                <w:i w:val="0"/>
                <w:sz w:val="20"/>
              </w:rPr>
              <w:t>-6.00 (-6.00--0.53)</w:t>
            </w:r>
          </w:p>
        </w:tc>
      </w:tr>
      <w:tr>
        <w:tc>
          <w:tcPr>
            <w:tcW w:type="dxa" w:w="1568"/>
            <w:vAlign w:val="center"/>
          </w:tcPr>
          <w:p>
            <w:pPr>
              <w:spacing w:before="0" w:after="0" w:line="264" w:lineRule="auto"/>
            </w:pPr>
            <w:r/>
            <w:r>
              <w:rPr>
                <w:rFonts w:ascii="Times New Roman" w:hAnsi="Times New Roman"/>
                <w:b w:val="0"/>
                <w:i w:val="0"/>
                <w:sz w:val="20"/>
              </w:rPr>
              <w:t>M9</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29</w:t>
            </w:r>
          </w:p>
        </w:tc>
        <w:tc>
          <w:tcPr>
            <w:tcW w:type="dxa" w:w="1568"/>
            <w:vAlign w:val="center"/>
          </w:tcPr>
          <w:p>
            <w:pPr>
              <w:spacing w:before="0" w:after="0" w:line="264" w:lineRule="auto"/>
            </w:pPr>
            <w:r/>
            <w:r>
              <w:rPr>
                <w:rFonts w:ascii="Times New Roman" w:hAnsi="Times New Roman"/>
                <w:b w:val="0"/>
                <w:i w:val="0"/>
                <w:sz w:val="20"/>
              </w:rPr>
              <w:t>6</w:t>
            </w:r>
          </w:p>
        </w:tc>
        <w:tc>
          <w:tcPr>
            <w:tcW w:type="dxa" w:w="1568"/>
            <w:vAlign w:val="center"/>
          </w:tcPr>
          <w:p>
            <w:pPr>
              <w:spacing w:before="0" w:after="0" w:line="264" w:lineRule="auto"/>
            </w:pPr>
            <w:r/>
            <w:r>
              <w:rPr>
                <w:rFonts w:ascii="Times New Roman" w:hAnsi="Times New Roman"/>
                <w:b w:val="0"/>
                <w:i w:val="0"/>
                <w:sz w:val="20"/>
              </w:rPr>
              <w:t>20.7</w:t>
            </w:r>
          </w:p>
        </w:tc>
        <w:tc>
          <w:tcPr>
            <w:tcW w:type="dxa" w:w="1568"/>
            <w:vAlign w:val="center"/>
          </w:tcPr>
          <w:p>
            <w:pPr>
              <w:spacing w:before="0" w:after="0" w:line="264" w:lineRule="auto"/>
            </w:pPr>
            <w:r/>
            <w:r>
              <w:rPr>
                <w:rFonts w:ascii="Times New Roman" w:hAnsi="Times New Roman"/>
                <w:b w:val="0"/>
                <w:i w:val="0"/>
                <w:sz w:val="20"/>
              </w:rPr>
              <w:t>-6.00 (-6.00--6.00)</w:t>
            </w:r>
          </w:p>
        </w:tc>
      </w:tr>
      <w:tr>
        <w:tc>
          <w:tcPr>
            <w:tcW w:type="dxa" w:w="1568"/>
            <w:vAlign w:val="center"/>
          </w:tcPr>
          <w:p>
            <w:pPr>
              <w:spacing w:before="0" w:after="0" w:line="264" w:lineRule="auto"/>
            </w:pPr>
            <w:r/>
            <w:r>
              <w:rPr>
                <w:rFonts w:ascii="Times New Roman" w:hAnsi="Times New Roman"/>
                <w:b w:val="0"/>
                <w:i w:val="0"/>
                <w:sz w:val="20"/>
              </w:rPr>
              <w:t>M12</w:t>
            </w:r>
          </w:p>
        </w:tc>
        <w:tc>
          <w:tcPr>
            <w:tcW w:type="dxa" w:w="1568"/>
            <w:vAlign w:val="center"/>
          </w:tcPr>
          <w:p>
            <w:pPr>
              <w:spacing w:before="0" w:after="0" w:line="264" w:lineRule="auto"/>
            </w:pPr>
            <w:r/>
            <w:r>
              <w:rPr>
                <w:rFonts w:ascii="Times New Roman" w:hAnsi="Times New Roman"/>
                <w:b w:val="0"/>
                <w:i w:val="0"/>
                <w:sz w:val="20"/>
              </w:rPr>
              <w:t>Overall</w:t>
            </w:r>
          </w:p>
        </w:tc>
        <w:tc>
          <w:tcPr>
            <w:tcW w:type="dxa" w:w="1568"/>
            <w:vAlign w:val="center"/>
          </w:tcPr>
          <w:p>
            <w:pPr>
              <w:spacing w:before="0" w:after="0" w:line="264" w:lineRule="auto"/>
            </w:pPr>
            <w:r/>
            <w:r>
              <w:rPr>
                <w:rFonts w:ascii="Times New Roman" w:hAnsi="Times New Roman"/>
                <w:b w:val="0"/>
                <w:i w:val="0"/>
                <w:sz w:val="20"/>
              </w:rPr>
              <w:t>29</w:t>
            </w:r>
          </w:p>
        </w:tc>
        <w:tc>
          <w:tcPr>
            <w:tcW w:type="dxa" w:w="1568"/>
            <w:vAlign w:val="center"/>
          </w:tcPr>
          <w:p>
            <w:pPr>
              <w:spacing w:before="0" w:after="0" w:line="264" w:lineRule="auto"/>
            </w:pPr>
            <w:r/>
            <w:r>
              <w:rPr>
                <w:rFonts w:ascii="Times New Roman" w:hAnsi="Times New Roman"/>
                <w:b w:val="0"/>
                <w:i w:val="0"/>
                <w:sz w:val="20"/>
              </w:rPr>
              <w:t>6</w:t>
            </w:r>
          </w:p>
        </w:tc>
        <w:tc>
          <w:tcPr>
            <w:tcW w:type="dxa" w:w="1568"/>
            <w:vAlign w:val="center"/>
          </w:tcPr>
          <w:p>
            <w:pPr>
              <w:spacing w:before="0" w:after="0" w:line="264" w:lineRule="auto"/>
            </w:pPr>
            <w:r/>
            <w:r>
              <w:rPr>
                <w:rFonts w:ascii="Times New Roman" w:hAnsi="Times New Roman"/>
                <w:b w:val="0"/>
                <w:i w:val="0"/>
                <w:sz w:val="20"/>
              </w:rPr>
              <w:t>20.7</w:t>
            </w:r>
          </w:p>
        </w:tc>
        <w:tc>
          <w:tcPr>
            <w:tcW w:type="dxa" w:w="1568"/>
            <w:vAlign w:val="center"/>
          </w:tcPr>
          <w:p>
            <w:pPr>
              <w:spacing w:before="0" w:after="0" w:line="264" w:lineRule="auto"/>
            </w:pPr>
            <w:r/>
            <w:r>
              <w:rPr>
                <w:rFonts w:ascii="Times New Roman" w:hAnsi="Times New Roman"/>
                <w:b w:val="0"/>
                <w:i w:val="0"/>
                <w:sz w:val="20"/>
              </w:rPr>
              <w:t>-6.00 (-6.00--6.00)</w:t>
            </w:r>
          </w:p>
        </w:tc>
      </w:tr>
      <w:tr>
        <w:tc>
          <w:tcPr>
            <w:tcW w:type="dxa" w:w="1568"/>
            <w:vAlign w:val="center"/>
          </w:tcPr>
          <w:p>
            <w:pPr>
              <w:spacing w:before="0" w:after="0" w:line="264" w:lineRule="auto"/>
            </w:pPr>
            <w:r/>
            <w:r>
              <w:rPr>
                <w:rFonts w:ascii="Times New Roman" w:hAnsi="Times New Roman"/>
                <w:b w:val="0"/>
                <w:i w:val="0"/>
                <w:sz w:val="20"/>
              </w:rPr>
              <w:t>Baseline</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20</w:t>
            </w:r>
          </w:p>
        </w:tc>
        <w:tc>
          <w:tcPr>
            <w:tcW w:type="dxa" w:w="1568"/>
            <w:vAlign w:val="center"/>
          </w:tcPr>
          <w:p>
            <w:pPr>
              <w:spacing w:before="0" w:after="0" w:line="264" w:lineRule="auto"/>
            </w:pPr>
            <w:r/>
            <w:r>
              <w:rPr>
                <w:rFonts w:ascii="Times New Roman" w:hAnsi="Times New Roman"/>
                <w:b w:val="0"/>
                <w:i w:val="0"/>
                <w:sz w:val="20"/>
              </w:rPr>
              <w:t>18</w:t>
            </w:r>
          </w:p>
        </w:tc>
        <w:tc>
          <w:tcPr>
            <w:tcW w:type="dxa" w:w="1568"/>
            <w:vAlign w:val="center"/>
          </w:tcPr>
          <w:p>
            <w:pPr>
              <w:spacing w:before="0" w:after="0" w:line="264" w:lineRule="auto"/>
            </w:pPr>
            <w:r/>
            <w:r>
              <w:rPr>
                <w:rFonts w:ascii="Times New Roman" w:hAnsi="Times New Roman"/>
                <w:b w:val="0"/>
                <w:i w:val="0"/>
                <w:sz w:val="20"/>
              </w:rPr>
              <w:t>90.0</w:t>
            </w:r>
          </w:p>
        </w:tc>
        <w:tc>
          <w:tcPr>
            <w:tcW w:type="dxa" w:w="1568"/>
            <w:vAlign w:val="center"/>
          </w:tcPr>
          <w:p>
            <w:pPr>
              <w:spacing w:before="0" w:after="0" w:line="264" w:lineRule="auto"/>
            </w:pPr>
            <w:r/>
            <w:r>
              <w:rPr>
                <w:rFonts w:ascii="Times New Roman" w:hAnsi="Times New Roman"/>
                <w:b w:val="0"/>
                <w:i w:val="0"/>
                <w:sz w:val="20"/>
              </w:rPr>
              <w:t>0.42 (0.10-0.51)</w:t>
            </w:r>
          </w:p>
        </w:tc>
      </w:tr>
      <w:tr>
        <w:tc>
          <w:tcPr>
            <w:tcW w:type="dxa" w:w="1568"/>
            <w:vAlign w:val="center"/>
          </w:tcPr>
          <w:p>
            <w:pPr>
              <w:spacing w:before="0" w:after="0" w:line="264" w:lineRule="auto"/>
            </w:pPr>
            <w:r/>
            <w:r>
              <w:rPr>
                <w:rFonts w:ascii="Times New Roman" w:hAnsi="Times New Roman"/>
                <w:b w:val="0"/>
                <w:i w:val="0"/>
                <w:sz w:val="20"/>
              </w:rPr>
              <w:t>Baseline</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21</w:t>
            </w:r>
          </w:p>
        </w:tc>
        <w:tc>
          <w:tcPr>
            <w:tcW w:type="dxa" w:w="1568"/>
            <w:vAlign w:val="center"/>
          </w:tcPr>
          <w:p>
            <w:pPr>
              <w:spacing w:before="0" w:after="0" w:line="264" w:lineRule="auto"/>
            </w:pPr>
            <w:r/>
            <w:r>
              <w:rPr>
                <w:rFonts w:ascii="Times New Roman" w:hAnsi="Times New Roman"/>
                <w:b w:val="0"/>
                <w:i w:val="0"/>
                <w:sz w:val="20"/>
              </w:rPr>
              <w:t>20</w:t>
            </w:r>
          </w:p>
        </w:tc>
        <w:tc>
          <w:tcPr>
            <w:tcW w:type="dxa" w:w="1568"/>
            <w:vAlign w:val="center"/>
          </w:tcPr>
          <w:p>
            <w:pPr>
              <w:spacing w:before="0" w:after="0" w:line="264" w:lineRule="auto"/>
            </w:pPr>
            <w:r/>
            <w:r>
              <w:rPr>
                <w:rFonts w:ascii="Times New Roman" w:hAnsi="Times New Roman"/>
                <w:b w:val="0"/>
                <w:i w:val="0"/>
                <w:sz w:val="20"/>
              </w:rPr>
              <w:t>95.2</w:t>
            </w:r>
          </w:p>
        </w:tc>
        <w:tc>
          <w:tcPr>
            <w:tcW w:type="dxa" w:w="1568"/>
            <w:vAlign w:val="center"/>
          </w:tcPr>
          <w:p>
            <w:pPr>
              <w:spacing w:before="0" w:after="0" w:line="264" w:lineRule="auto"/>
            </w:pPr>
            <w:r/>
            <w:r>
              <w:rPr>
                <w:rFonts w:ascii="Times New Roman" w:hAnsi="Times New Roman"/>
                <w:b w:val="0"/>
                <w:i w:val="0"/>
                <w:sz w:val="20"/>
              </w:rPr>
              <w:t>0.50 (0.21-0.57)</w:t>
            </w:r>
          </w:p>
        </w:tc>
      </w:tr>
      <w:tr>
        <w:tc>
          <w:tcPr>
            <w:tcW w:type="dxa" w:w="1568"/>
            <w:vAlign w:val="center"/>
          </w:tcPr>
          <w:p>
            <w:pPr>
              <w:spacing w:before="0" w:after="0" w:line="264" w:lineRule="auto"/>
            </w:pPr>
            <w:r/>
            <w:r>
              <w:rPr>
                <w:rFonts w:ascii="Times New Roman" w:hAnsi="Times New Roman"/>
                <w:b w:val="0"/>
                <w:i w:val="0"/>
                <w:sz w:val="20"/>
              </w:rPr>
              <w:t>D14</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22</w:t>
            </w:r>
          </w:p>
        </w:tc>
        <w:tc>
          <w:tcPr>
            <w:tcW w:type="dxa" w:w="1568"/>
            <w:vAlign w:val="center"/>
          </w:tcPr>
          <w:p>
            <w:pPr>
              <w:spacing w:before="0" w:after="0" w:line="264" w:lineRule="auto"/>
            </w:pPr>
            <w:r/>
            <w:r>
              <w:rPr>
                <w:rFonts w:ascii="Times New Roman" w:hAnsi="Times New Roman"/>
                <w:b w:val="0"/>
                <w:i w:val="0"/>
                <w:sz w:val="20"/>
              </w:rPr>
              <w:t>12</w:t>
            </w:r>
          </w:p>
        </w:tc>
        <w:tc>
          <w:tcPr>
            <w:tcW w:type="dxa" w:w="1568"/>
            <w:vAlign w:val="center"/>
          </w:tcPr>
          <w:p>
            <w:pPr>
              <w:spacing w:before="0" w:after="0" w:line="264" w:lineRule="auto"/>
            </w:pPr>
            <w:r/>
            <w:r>
              <w:rPr>
                <w:rFonts w:ascii="Times New Roman" w:hAnsi="Times New Roman"/>
                <w:b w:val="0"/>
                <w:i w:val="0"/>
                <w:sz w:val="20"/>
              </w:rPr>
              <w:t>54.5</w:t>
            </w:r>
          </w:p>
        </w:tc>
        <w:tc>
          <w:tcPr>
            <w:tcW w:type="dxa" w:w="1568"/>
            <w:vAlign w:val="center"/>
          </w:tcPr>
          <w:p>
            <w:pPr>
              <w:spacing w:before="0" w:after="0" w:line="264" w:lineRule="auto"/>
            </w:pPr>
            <w:r/>
            <w:r>
              <w:rPr>
                <w:rFonts w:ascii="Times New Roman" w:hAnsi="Times New Roman"/>
                <w:b w:val="0"/>
                <w:i w:val="0"/>
                <w:sz w:val="20"/>
              </w:rPr>
              <w:t>-0.67 (-6.00-0.13)</w:t>
            </w:r>
          </w:p>
        </w:tc>
      </w:tr>
      <w:tr>
        <w:tc>
          <w:tcPr>
            <w:tcW w:type="dxa" w:w="1568"/>
            <w:vAlign w:val="center"/>
          </w:tcPr>
          <w:p>
            <w:pPr>
              <w:spacing w:before="0" w:after="0" w:line="264" w:lineRule="auto"/>
            </w:pPr>
            <w:r/>
            <w:r>
              <w:rPr>
                <w:rFonts w:ascii="Times New Roman" w:hAnsi="Times New Roman"/>
                <w:b w:val="0"/>
                <w:i w:val="0"/>
                <w:sz w:val="20"/>
              </w:rPr>
              <w:t>D14</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22</w:t>
            </w:r>
          </w:p>
        </w:tc>
        <w:tc>
          <w:tcPr>
            <w:tcW w:type="dxa" w:w="1568"/>
            <w:vAlign w:val="center"/>
          </w:tcPr>
          <w:p>
            <w:pPr>
              <w:spacing w:before="0" w:after="0" w:line="264" w:lineRule="auto"/>
            </w:pPr>
            <w:r/>
            <w:r>
              <w:rPr>
                <w:rFonts w:ascii="Times New Roman" w:hAnsi="Times New Roman"/>
                <w:b w:val="0"/>
                <w:i w:val="0"/>
                <w:sz w:val="20"/>
              </w:rPr>
              <w:t>19</w:t>
            </w:r>
          </w:p>
        </w:tc>
        <w:tc>
          <w:tcPr>
            <w:tcW w:type="dxa" w:w="1568"/>
            <w:vAlign w:val="center"/>
          </w:tcPr>
          <w:p>
            <w:pPr>
              <w:spacing w:before="0" w:after="0" w:line="264" w:lineRule="auto"/>
            </w:pPr>
            <w:r/>
            <w:r>
              <w:rPr>
                <w:rFonts w:ascii="Times New Roman" w:hAnsi="Times New Roman"/>
                <w:b w:val="0"/>
                <w:i w:val="0"/>
                <w:sz w:val="20"/>
              </w:rPr>
              <w:t>86.4</w:t>
            </w:r>
          </w:p>
        </w:tc>
        <w:tc>
          <w:tcPr>
            <w:tcW w:type="dxa" w:w="1568"/>
            <w:vAlign w:val="center"/>
          </w:tcPr>
          <w:p>
            <w:pPr>
              <w:spacing w:before="0" w:after="0" w:line="264" w:lineRule="auto"/>
            </w:pPr>
            <w:r/>
            <w:r>
              <w:rPr>
                <w:rFonts w:ascii="Times New Roman" w:hAnsi="Times New Roman"/>
                <w:b w:val="0"/>
                <w:i w:val="0"/>
                <w:sz w:val="20"/>
              </w:rPr>
              <w:t>0.22 (-0.33-0.40)</w:t>
            </w:r>
          </w:p>
        </w:tc>
      </w:tr>
      <w:tr>
        <w:tc>
          <w:tcPr>
            <w:tcW w:type="dxa" w:w="1568"/>
            <w:vAlign w:val="center"/>
          </w:tcPr>
          <w:p>
            <w:pPr>
              <w:spacing w:before="0" w:after="0" w:line="264" w:lineRule="auto"/>
            </w:pPr>
            <w:r/>
            <w:r>
              <w:rPr>
                <w:rFonts w:ascii="Times New Roman" w:hAnsi="Times New Roman"/>
                <w:b w:val="0"/>
                <w:i w:val="0"/>
                <w:sz w:val="20"/>
              </w:rPr>
              <w:t>M1</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19</w:t>
            </w:r>
          </w:p>
        </w:tc>
        <w:tc>
          <w:tcPr>
            <w:tcW w:type="dxa" w:w="1568"/>
            <w:vAlign w:val="center"/>
          </w:tcPr>
          <w:p>
            <w:pPr>
              <w:spacing w:before="0" w:after="0" w:line="264" w:lineRule="auto"/>
            </w:pPr>
            <w:r/>
            <w:r>
              <w:rPr>
                <w:rFonts w:ascii="Times New Roman" w:hAnsi="Times New Roman"/>
                <w:b w:val="0"/>
                <w:i w:val="0"/>
                <w:sz w:val="20"/>
              </w:rPr>
              <w:t>5</w:t>
            </w:r>
          </w:p>
        </w:tc>
        <w:tc>
          <w:tcPr>
            <w:tcW w:type="dxa" w:w="1568"/>
            <w:vAlign w:val="center"/>
          </w:tcPr>
          <w:p>
            <w:pPr>
              <w:spacing w:before="0" w:after="0" w:line="264" w:lineRule="auto"/>
            </w:pPr>
            <w:r/>
            <w:r>
              <w:rPr>
                <w:rFonts w:ascii="Times New Roman" w:hAnsi="Times New Roman"/>
                <w:b w:val="0"/>
                <w:i w:val="0"/>
                <w:sz w:val="20"/>
              </w:rPr>
              <w:t>26.3</w:t>
            </w:r>
          </w:p>
        </w:tc>
        <w:tc>
          <w:tcPr>
            <w:tcW w:type="dxa" w:w="1568"/>
            <w:vAlign w:val="center"/>
          </w:tcPr>
          <w:p>
            <w:pPr>
              <w:spacing w:before="0" w:after="0" w:line="264" w:lineRule="auto"/>
            </w:pPr>
            <w:r/>
            <w:r>
              <w:rPr>
                <w:rFonts w:ascii="Times New Roman" w:hAnsi="Times New Roman"/>
                <w:b w:val="0"/>
                <w:i w:val="0"/>
                <w:sz w:val="20"/>
              </w:rPr>
              <w:t>-6.00 (-6.00--3.14)</w:t>
            </w:r>
          </w:p>
        </w:tc>
      </w:tr>
      <w:tr>
        <w:tc>
          <w:tcPr>
            <w:tcW w:type="dxa" w:w="1568"/>
            <w:vAlign w:val="center"/>
          </w:tcPr>
          <w:p>
            <w:pPr>
              <w:spacing w:before="0" w:after="0" w:line="264" w:lineRule="auto"/>
            </w:pPr>
            <w:r/>
            <w:r>
              <w:rPr>
                <w:rFonts w:ascii="Times New Roman" w:hAnsi="Times New Roman"/>
                <w:b w:val="0"/>
                <w:i w:val="0"/>
                <w:sz w:val="20"/>
              </w:rPr>
              <w:t>M1</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21</w:t>
            </w:r>
          </w:p>
        </w:tc>
        <w:tc>
          <w:tcPr>
            <w:tcW w:type="dxa" w:w="1568"/>
            <w:vAlign w:val="center"/>
          </w:tcPr>
          <w:p>
            <w:pPr>
              <w:spacing w:before="0" w:after="0" w:line="264" w:lineRule="auto"/>
            </w:pPr>
            <w:r/>
            <w:r>
              <w:rPr>
                <w:rFonts w:ascii="Times New Roman" w:hAnsi="Times New Roman"/>
                <w:b w:val="0"/>
                <w:i w:val="0"/>
                <w:sz w:val="20"/>
              </w:rPr>
              <w:t>15</w:t>
            </w:r>
          </w:p>
        </w:tc>
        <w:tc>
          <w:tcPr>
            <w:tcW w:type="dxa" w:w="1568"/>
            <w:vAlign w:val="center"/>
          </w:tcPr>
          <w:p>
            <w:pPr>
              <w:spacing w:before="0" w:after="0" w:line="264" w:lineRule="auto"/>
            </w:pPr>
            <w:r/>
            <w:r>
              <w:rPr>
                <w:rFonts w:ascii="Times New Roman" w:hAnsi="Times New Roman"/>
                <w:b w:val="0"/>
                <w:i w:val="0"/>
                <w:sz w:val="20"/>
              </w:rPr>
              <w:t>71.4</w:t>
            </w:r>
          </w:p>
        </w:tc>
        <w:tc>
          <w:tcPr>
            <w:tcW w:type="dxa" w:w="1568"/>
            <w:vAlign w:val="center"/>
          </w:tcPr>
          <w:p>
            <w:pPr>
              <w:spacing w:before="0" w:after="0" w:line="264" w:lineRule="auto"/>
            </w:pPr>
            <w:r/>
            <w:r>
              <w:rPr>
                <w:rFonts w:ascii="Times New Roman" w:hAnsi="Times New Roman"/>
                <w:b w:val="0"/>
                <w:i w:val="0"/>
                <w:sz w:val="20"/>
              </w:rPr>
              <w:t>0.19 (-6.00-0.35)</w:t>
            </w:r>
          </w:p>
        </w:tc>
      </w:tr>
      <w:tr>
        <w:tc>
          <w:tcPr>
            <w:tcW w:type="dxa" w:w="1568"/>
            <w:vAlign w:val="center"/>
          </w:tcPr>
          <w:p>
            <w:pPr>
              <w:spacing w:before="0" w:after="0" w:line="264" w:lineRule="auto"/>
            </w:pPr>
            <w:r/>
            <w:r>
              <w:rPr>
                <w:rFonts w:ascii="Times New Roman" w:hAnsi="Times New Roman"/>
                <w:b w:val="0"/>
                <w:i w:val="0"/>
                <w:sz w:val="20"/>
              </w:rPr>
              <w:t>M3</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22</w:t>
            </w:r>
          </w:p>
        </w:tc>
        <w:tc>
          <w:tcPr>
            <w:tcW w:type="dxa" w:w="1568"/>
            <w:vAlign w:val="center"/>
          </w:tcPr>
          <w:p>
            <w:pPr>
              <w:spacing w:before="0" w:after="0" w:line="264" w:lineRule="auto"/>
            </w:pPr>
            <w:r/>
            <w:r>
              <w:rPr>
                <w:rFonts w:ascii="Times New Roman" w:hAnsi="Times New Roman"/>
                <w:b w:val="0"/>
                <w:i w:val="0"/>
                <w:sz w:val="20"/>
              </w:rPr>
              <w:t>3</w:t>
            </w:r>
          </w:p>
        </w:tc>
        <w:tc>
          <w:tcPr>
            <w:tcW w:type="dxa" w:w="1568"/>
            <w:vAlign w:val="center"/>
          </w:tcPr>
          <w:p>
            <w:pPr>
              <w:spacing w:before="0" w:after="0" w:line="264" w:lineRule="auto"/>
            </w:pPr>
            <w:r/>
            <w:r>
              <w:rPr>
                <w:rFonts w:ascii="Times New Roman" w:hAnsi="Times New Roman"/>
                <w:b w:val="0"/>
                <w:i w:val="0"/>
                <w:sz w:val="20"/>
              </w:rPr>
              <w:t>13.6</w:t>
            </w:r>
          </w:p>
        </w:tc>
        <w:tc>
          <w:tcPr>
            <w:tcW w:type="dxa" w:w="1568"/>
            <w:vAlign w:val="center"/>
          </w:tcPr>
          <w:p>
            <w:pPr>
              <w:spacing w:before="0" w:after="0" w:line="264" w:lineRule="auto"/>
            </w:pPr>
            <w:r/>
            <w:r>
              <w:rPr>
                <w:rFonts w:ascii="Times New Roman" w:hAnsi="Times New Roman"/>
                <w:b w:val="0"/>
                <w:i w:val="0"/>
                <w:sz w:val="20"/>
              </w:rPr>
              <w:t>-6.00 (-6.00--6.00)</w:t>
            </w:r>
          </w:p>
        </w:tc>
      </w:tr>
      <w:tr>
        <w:tc>
          <w:tcPr>
            <w:tcW w:type="dxa" w:w="1568"/>
            <w:vAlign w:val="center"/>
          </w:tcPr>
          <w:p>
            <w:pPr>
              <w:spacing w:before="0" w:after="0" w:line="264" w:lineRule="auto"/>
            </w:pPr>
            <w:r/>
            <w:r>
              <w:rPr>
                <w:rFonts w:ascii="Times New Roman" w:hAnsi="Times New Roman"/>
                <w:b w:val="0"/>
                <w:i w:val="0"/>
                <w:sz w:val="20"/>
              </w:rPr>
              <w:t>M3</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12</w:t>
            </w:r>
          </w:p>
        </w:tc>
        <w:tc>
          <w:tcPr>
            <w:tcW w:type="dxa" w:w="1568"/>
            <w:vAlign w:val="center"/>
          </w:tcPr>
          <w:p>
            <w:pPr>
              <w:spacing w:before="0" w:after="0" w:line="264" w:lineRule="auto"/>
            </w:pPr>
            <w:r/>
            <w:r>
              <w:rPr>
                <w:rFonts w:ascii="Times New Roman" w:hAnsi="Times New Roman"/>
                <w:b w:val="0"/>
                <w:i w:val="0"/>
                <w:sz w:val="20"/>
              </w:rPr>
              <w:t>7</w:t>
            </w:r>
          </w:p>
        </w:tc>
        <w:tc>
          <w:tcPr>
            <w:tcW w:type="dxa" w:w="1568"/>
            <w:vAlign w:val="center"/>
          </w:tcPr>
          <w:p>
            <w:pPr>
              <w:spacing w:before="0" w:after="0" w:line="264" w:lineRule="auto"/>
            </w:pPr>
            <w:r/>
            <w:r>
              <w:rPr>
                <w:rFonts w:ascii="Times New Roman" w:hAnsi="Times New Roman"/>
                <w:b w:val="0"/>
                <w:i w:val="0"/>
                <w:sz w:val="20"/>
              </w:rPr>
              <w:t>58.3</w:t>
            </w:r>
          </w:p>
        </w:tc>
        <w:tc>
          <w:tcPr>
            <w:tcW w:type="dxa" w:w="1568"/>
            <w:vAlign w:val="center"/>
          </w:tcPr>
          <w:p>
            <w:pPr>
              <w:spacing w:before="0" w:after="0" w:line="264" w:lineRule="auto"/>
            </w:pPr>
            <w:r/>
            <w:r>
              <w:rPr>
                <w:rFonts w:ascii="Times New Roman" w:hAnsi="Times New Roman"/>
                <w:b w:val="0"/>
                <w:i w:val="0"/>
                <w:sz w:val="20"/>
              </w:rPr>
              <w:t>-0.51 (-6.00-0.24)</w:t>
            </w:r>
          </w:p>
        </w:tc>
      </w:tr>
      <w:tr>
        <w:tc>
          <w:tcPr>
            <w:tcW w:type="dxa" w:w="1568"/>
            <w:vAlign w:val="center"/>
          </w:tcPr>
          <w:p>
            <w:pPr>
              <w:spacing w:before="0" w:after="0" w:line="264" w:lineRule="auto"/>
            </w:pPr>
            <w:r/>
            <w:r>
              <w:rPr>
                <w:rFonts w:ascii="Times New Roman" w:hAnsi="Times New Roman"/>
                <w:b w:val="0"/>
                <w:i w:val="0"/>
                <w:sz w:val="20"/>
              </w:rPr>
              <w:t>M6</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21</w:t>
            </w:r>
          </w:p>
        </w:tc>
        <w:tc>
          <w:tcPr>
            <w:tcW w:type="dxa" w:w="1568"/>
            <w:vAlign w:val="center"/>
          </w:tcPr>
          <w:p>
            <w:pPr>
              <w:spacing w:before="0" w:after="0" w:line="264" w:lineRule="auto"/>
            </w:pPr>
            <w:r/>
            <w:r>
              <w:rPr>
                <w:rFonts w:ascii="Times New Roman" w:hAnsi="Times New Roman"/>
                <w:b w:val="0"/>
                <w:i w:val="0"/>
                <w:sz w:val="20"/>
              </w:rPr>
              <w:t>4</w:t>
            </w:r>
          </w:p>
        </w:tc>
        <w:tc>
          <w:tcPr>
            <w:tcW w:type="dxa" w:w="1568"/>
            <w:vAlign w:val="center"/>
          </w:tcPr>
          <w:p>
            <w:pPr>
              <w:spacing w:before="0" w:after="0" w:line="264" w:lineRule="auto"/>
            </w:pPr>
            <w:r/>
            <w:r>
              <w:rPr>
                <w:rFonts w:ascii="Times New Roman" w:hAnsi="Times New Roman"/>
                <w:b w:val="0"/>
                <w:i w:val="0"/>
                <w:sz w:val="20"/>
              </w:rPr>
              <w:t>19.0</w:t>
            </w:r>
          </w:p>
        </w:tc>
        <w:tc>
          <w:tcPr>
            <w:tcW w:type="dxa" w:w="1568"/>
            <w:vAlign w:val="center"/>
          </w:tcPr>
          <w:p>
            <w:pPr>
              <w:spacing w:before="0" w:after="0" w:line="264" w:lineRule="auto"/>
            </w:pPr>
            <w:r/>
            <w:r>
              <w:rPr>
                <w:rFonts w:ascii="Times New Roman" w:hAnsi="Times New Roman"/>
                <w:b w:val="0"/>
                <w:i w:val="0"/>
                <w:sz w:val="20"/>
              </w:rPr>
              <w:t>-6.00 (-6.00--6.00)</w:t>
            </w:r>
          </w:p>
        </w:tc>
      </w:tr>
      <w:tr>
        <w:tc>
          <w:tcPr>
            <w:tcW w:type="dxa" w:w="1568"/>
            <w:vAlign w:val="center"/>
          </w:tcPr>
          <w:p>
            <w:pPr>
              <w:spacing w:before="0" w:after="0" w:line="264" w:lineRule="auto"/>
            </w:pPr>
            <w:r/>
            <w:r>
              <w:rPr>
                <w:rFonts w:ascii="Times New Roman" w:hAnsi="Times New Roman"/>
                <w:b w:val="0"/>
                <w:i w:val="0"/>
                <w:sz w:val="20"/>
              </w:rPr>
              <w:t>M6</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6</w:t>
            </w:r>
          </w:p>
        </w:tc>
        <w:tc>
          <w:tcPr>
            <w:tcW w:type="dxa" w:w="1568"/>
            <w:vAlign w:val="center"/>
          </w:tcPr>
          <w:p>
            <w:pPr>
              <w:spacing w:before="0" w:after="0" w:line="264" w:lineRule="auto"/>
            </w:pPr>
            <w:r/>
            <w:r>
              <w:rPr>
                <w:rFonts w:ascii="Times New Roman" w:hAnsi="Times New Roman"/>
                <w:b w:val="0"/>
                <w:i w:val="0"/>
                <w:sz w:val="20"/>
              </w:rPr>
              <w:t>4</w:t>
            </w:r>
          </w:p>
        </w:tc>
        <w:tc>
          <w:tcPr>
            <w:tcW w:type="dxa" w:w="1568"/>
            <w:vAlign w:val="center"/>
          </w:tcPr>
          <w:p>
            <w:pPr>
              <w:spacing w:before="0" w:after="0" w:line="264" w:lineRule="auto"/>
            </w:pPr>
            <w:r/>
            <w:r>
              <w:rPr>
                <w:rFonts w:ascii="Times New Roman" w:hAnsi="Times New Roman"/>
                <w:b w:val="0"/>
                <w:i w:val="0"/>
                <w:sz w:val="20"/>
              </w:rPr>
              <w:t>66.7</w:t>
            </w:r>
          </w:p>
        </w:tc>
        <w:tc>
          <w:tcPr>
            <w:tcW w:type="dxa" w:w="1568"/>
            <w:vAlign w:val="center"/>
          </w:tcPr>
          <w:p>
            <w:pPr>
              <w:spacing w:before="0" w:after="0" w:line="264" w:lineRule="auto"/>
            </w:pPr>
            <w:r/>
            <w:r>
              <w:rPr>
                <w:rFonts w:ascii="Times New Roman" w:hAnsi="Times New Roman"/>
                <w:b w:val="0"/>
                <w:i w:val="0"/>
                <w:sz w:val="20"/>
              </w:rPr>
              <w:t>-0.08 (-4.56-0.18)</w:t>
            </w:r>
          </w:p>
        </w:tc>
      </w:tr>
      <w:tr>
        <w:tc>
          <w:tcPr>
            <w:tcW w:type="dxa" w:w="1568"/>
            <w:vAlign w:val="center"/>
          </w:tcPr>
          <w:p>
            <w:pPr>
              <w:spacing w:before="0" w:after="0" w:line="264" w:lineRule="auto"/>
            </w:pPr>
            <w:r/>
            <w:r>
              <w:rPr>
                <w:rFonts w:ascii="Times New Roman" w:hAnsi="Times New Roman"/>
                <w:b w:val="0"/>
                <w:i w:val="0"/>
                <w:sz w:val="20"/>
              </w:rPr>
              <w:t>M9</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20</w:t>
            </w:r>
          </w:p>
        </w:tc>
        <w:tc>
          <w:tcPr>
            <w:tcW w:type="dxa" w:w="1568"/>
            <w:vAlign w:val="center"/>
          </w:tcPr>
          <w:p>
            <w:pPr>
              <w:spacing w:before="0" w:after="0" w:line="264" w:lineRule="auto"/>
            </w:pPr>
            <w:r/>
            <w:r>
              <w:rPr>
                <w:rFonts w:ascii="Times New Roman" w:hAnsi="Times New Roman"/>
                <w:b w:val="0"/>
                <w:i w:val="0"/>
                <w:sz w:val="20"/>
              </w:rPr>
              <w:t>4</w:t>
            </w:r>
          </w:p>
        </w:tc>
        <w:tc>
          <w:tcPr>
            <w:tcW w:type="dxa" w:w="1568"/>
            <w:vAlign w:val="center"/>
          </w:tcPr>
          <w:p>
            <w:pPr>
              <w:spacing w:before="0" w:after="0" w:line="264" w:lineRule="auto"/>
            </w:pPr>
            <w:r/>
            <w:r>
              <w:rPr>
                <w:rFonts w:ascii="Times New Roman" w:hAnsi="Times New Roman"/>
                <w:b w:val="0"/>
                <w:i w:val="0"/>
                <w:sz w:val="20"/>
              </w:rPr>
              <w:t>20.0</w:t>
            </w:r>
          </w:p>
        </w:tc>
        <w:tc>
          <w:tcPr>
            <w:tcW w:type="dxa" w:w="1568"/>
            <w:vAlign w:val="center"/>
          </w:tcPr>
          <w:p>
            <w:pPr>
              <w:spacing w:before="0" w:after="0" w:line="264" w:lineRule="auto"/>
            </w:pPr>
            <w:r/>
            <w:r>
              <w:rPr>
                <w:rFonts w:ascii="Times New Roman" w:hAnsi="Times New Roman"/>
                <w:b w:val="0"/>
                <w:i w:val="0"/>
                <w:sz w:val="20"/>
              </w:rPr>
              <w:t>-6.00 (-6.00--6.00)</w:t>
            </w:r>
          </w:p>
        </w:tc>
      </w:tr>
      <w:tr>
        <w:tc>
          <w:tcPr>
            <w:tcW w:type="dxa" w:w="1568"/>
            <w:vAlign w:val="center"/>
          </w:tcPr>
          <w:p>
            <w:pPr>
              <w:spacing w:before="0" w:after="0" w:line="264" w:lineRule="auto"/>
            </w:pPr>
            <w:r/>
            <w:r>
              <w:rPr>
                <w:rFonts w:ascii="Times New Roman" w:hAnsi="Times New Roman"/>
                <w:b w:val="0"/>
                <w:i w:val="0"/>
                <w:sz w:val="20"/>
              </w:rPr>
              <w:t>M9</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3</w:t>
            </w:r>
          </w:p>
        </w:tc>
        <w:tc>
          <w:tcPr>
            <w:tcW w:type="dxa" w:w="1568"/>
            <w:vAlign w:val="center"/>
          </w:tcPr>
          <w:p>
            <w:pPr>
              <w:spacing w:before="0" w:after="0" w:line="264" w:lineRule="auto"/>
            </w:pPr>
            <w:r/>
            <w:r>
              <w:rPr>
                <w:rFonts w:ascii="Times New Roman" w:hAnsi="Times New Roman"/>
                <w:b w:val="0"/>
                <w:i w:val="0"/>
                <w:sz w:val="20"/>
              </w:rPr>
              <w:t>2</w:t>
            </w:r>
          </w:p>
        </w:tc>
        <w:tc>
          <w:tcPr>
            <w:tcW w:type="dxa" w:w="1568"/>
            <w:vAlign w:val="center"/>
          </w:tcPr>
          <w:p>
            <w:pPr>
              <w:spacing w:before="0" w:after="0" w:line="264" w:lineRule="auto"/>
            </w:pPr>
            <w:r/>
            <w:r>
              <w:rPr>
                <w:rFonts w:ascii="Times New Roman" w:hAnsi="Times New Roman"/>
                <w:b w:val="0"/>
                <w:i w:val="0"/>
                <w:sz w:val="20"/>
              </w:rPr>
              <w:t>66.7</w:t>
            </w:r>
          </w:p>
        </w:tc>
        <w:tc>
          <w:tcPr>
            <w:tcW w:type="dxa" w:w="1568"/>
            <w:vAlign w:val="center"/>
          </w:tcPr>
          <w:p>
            <w:pPr>
              <w:spacing w:before="0" w:after="0" w:line="264" w:lineRule="auto"/>
            </w:pPr>
            <w:r/>
            <w:r>
              <w:rPr>
                <w:rFonts w:ascii="Times New Roman" w:hAnsi="Times New Roman"/>
                <w:b w:val="0"/>
                <w:i w:val="0"/>
                <w:sz w:val="20"/>
              </w:rPr>
              <w:t>0.30 (-2.85-0.35)</w:t>
            </w:r>
          </w:p>
        </w:tc>
      </w:tr>
      <w:tr>
        <w:tc>
          <w:tcPr>
            <w:tcW w:type="dxa" w:w="1568"/>
            <w:vAlign w:val="center"/>
          </w:tcPr>
          <w:p>
            <w:pPr>
              <w:spacing w:before="0" w:after="0" w:line="264" w:lineRule="auto"/>
            </w:pPr>
            <w:r/>
            <w:r>
              <w:rPr>
                <w:rFonts w:ascii="Times New Roman" w:hAnsi="Times New Roman"/>
                <w:b w:val="0"/>
                <w:i w:val="0"/>
                <w:sz w:val="20"/>
              </w:rPr>
              <w:t>M12</w:t>
            </w:r>
          </w:p>
        </w:tc>
        <w:tc>
          <w:tcPr>
            <w:tcW w:type="dxa" w:w="1568"/>
            <w:vAlign w:val="center"/>
          </w:tcPr>
          <w:p>
            <w:pPr>
              <w:spacing w:before="0" w:after="0" w:line="264" w:lineRule="auto"/>
            </w:pPr>
            <w:r/>
            <w:r>
              <w:rPr>
                <w:rFonts w:ascii="Times New Roman" w:hAnsi="Times New Roman"/>
                <w:b w:val="0"/>
                <w:i w:val="0"/>
                <w:sz w:val="20"/>
              </w:rPr>
              <w:t>low-risk</w:t>
            </w:r>
          </w:p>
        </w:tc>
        <w:tc>
          <w:tcPr>
            <w:tcW w:type="dxa" w:w="1568"/>
            <w:vAlign w:val="center"/>
          </w:tcPr>
          <w:p>
            <w:pPr>
              <w:spacing w:before="0" w:after="0" w:line="264" w:lineRule="auto"/>
            </w:pPr>
            <w:r/>
            <w:r>
              <w:rPr>
                <w:rFonts w:ascii="Times New Roman" w:hAnsi="Times New Roman"/>
                <w:b w:val="0"/>
                <w:i w:val="0"/>
                <w:sz w:val="20"/>
              </w:rPr>
              <w:t>20</w:t>
            </w:r>
          </w:p>
        </w:tc>
        <w:tc>
          <w:tcPr>
            <w:tcW w:type="dxa" w:w="1568"/>
            <w:vAlign w:val="center"/>
          </w:tcPr>
          <w:p>
            <w:pPr>
              <w:spacing w:before="0" w:after="0" w:line="264" w:lineRule="auto"/>
            </w:pPr>
            <w:r/>
            <w:r>
              <w:rPr>
                <w:rFonts w:ascii="Times New Roman" w:hAnsi="Times New Roman"/>
                <w:b w:val="0"/>
                <w:i w:val="0"/>
                <w:sz w:val="20"/>
              </w:rPr>
              <w:t>5</w:t>
            </w:r>
          </w:p>
        </w:tc>
        <w:tc>
          <w:tcPr>
            <w:tcW w:type="dxa" w:w="1568"/>
            <w:vAlign w:val="center"/>
          </w:tcPr>
          <w:p>
            <w:pPr>
              <w:spacing w:before="0" w:after="0" w:line="264" w:lineRule="auto"/>
            </w:pPr>
            <w:r/>
            <w:r>
              <w:rPr>
                <w:rFonts w:ascii="Times New Roman" w:hAnsi="Times New Roman"/>
                <w:b w:val="0"/>
                <w:i w:val="0"/>
                <w:sz w:val="20"/>
              </w:rPr>
              <w:t>25.0</w:t>
            </w:r>
          </w:p>
        </w:tc>
        <w:tc>
          <w:tcPr>
            <w:tcW w:type="dxa" w:w="1568"/>
            <w:vAlign w:val="center"/>
          </w:tcPr>
          <w:p>
            <w:pPr>
              <w:spacing w:before="0" w:after="0" w:line="264" w:lineRule="auto"/>
            </w:pPr>
            <w:r/>
            <w:r>
              <w:rPr>
                <w:rFonts w:ascii="Times New Roman" w:hAnsi="Times New Roman"/>
                <w:b w:val="0"/>
                <w:i w:val="0"/>
                <w:sz w:val="20"/>
              </w:rPr>
              <w:t>-6.00 (-6.00--4.51)</w:t>
            </w:r>
          </w:p>
        </w:tc>
      </w:tr>
      <w:tr>
        <w:tc>
          <w:tcPr>
            <w:tcW w:type="dxa" w:w="1568"/>
            <w:vAlign w:val="center"/>
          </w:tcPr>
          <w:p>
            <w:pPr>
              <w:spacing w:before="0" w:after="0" w:line="264" w:lineRule="auto"/>
            </w:pPr>
            <w:r/>
            <w:r>
              <w:rPr>
                <w:rFonts w:ascii="Times New Roman" w:hAnsi="Times New Roman"/>
                <w:b w:val="0"/>
                <w:i w:val="0"/>
                <w:sz w:val="20"/>
              </w:rPr>
              <w:t>M12</w:t>
            </w:r>
          </w:p>
        </w:tc>
        <w:tc>
          <w:tcPr>
            <w:tcW w:type="dxa" w:w="1568"/>
            <w:vAlign w:val="center"/>
          </w:tcPr>
          <w:p>
            <w:pPr>
              <w:spacing w:before="0" w:after="0" w:line="264" w:lineRule="auto"/>
            </w:pPr>
            <w:r/>
            <w:r>
              <w:rPr>
                <w:rFonts w:ascii="Times New Roman" w:hAnsi="Times New Roman"/>
                <w:b w:val="0"/>
                <w:i w:val="0"/>
                <w:sz w:val="20"/>
              </w:rPr>
              <w:t>high-risk</w:t>
            </w:r>
          </w:p>
        </w:tc>
        <w:tc>
          <w:tcPr>
            <w:tcW w:type="dxa" w:w="1568"/>
            <w:vAlign w:val="center"/>
          </w:tcPr>
          <w:p>
            <w:pPr>
              <w:spacing w:before="0" w:after="0" w:line="264" w:lineRule="auto"/>
            </w:pPr>
            <w:r/>
            <w:r>
              <w:rPr>
                <w:rFonts w:ascii="Times New Roman" w:hAnsi="Times New Roman"/>
                <w:b w:val="0"/>
                <w:i w:val="0"/>
                <w:sz w:val="20"/>
              </w:rPr>
              <w:t>1</w:t>
            </w:r>
          </w:p>
        </w:tc>
        <w:tc>
          <w:tcPr>
            <w:tcW w:type="dxa" w:w="1568"/>
            <w:vAlign w:val="center"/>
          </w:tcPr>
          <w:p>
            <w:pPr>
              <w:spacing w:before="0" w:after="0" w:line="264" w:lineRule="auto"/>
            </w:pPr>
            <w:r/>
            <w:r>
              <w:rPr>
                <w:rFonts w:ascii="Times New Roman" w:hAnsi="Times New Roman"/>
                <w:b w:val="0"/>
                <w:i w:val="0"/>
                <w:sz w:val="20"/>
              </w:rPr>
              <w:t>1</w:t>
            </w:r>
          </w:p>
        </w:tc>
        <w:tc>
          <w:tcPr>
            <w:tcW w:type="dxa" w:w="1568"/>
            <w:vAlign w:val="center"/>
          </w:tcPr>
          <w:p>
            <w:pPr>
              <w:spacing w:before="0" w:after="0" w:line="264" w:lineRule="auto"/>
            </w:pPr>
            <w:r/>
            <w:r>
              <w:rPr>
                <w:rFonts w:ascii="Times New Roman" w:hAnsi="Times New Roman"/>
                <w:b w:val="0"/>
                <w:i w:val="0"/>
                <w:sz w:val="20"/>
              </w:rPr>
              <w:t>100.0</w:t>
            </w:r>
          </w:p>
        </w:tc>
        <w:tc>
          <w:tcPr>
            <w:tcW w:type="dxa" w:w="1568"/>
            <w:vAlign w:val="center"/>
          </w:tcPr>
          <w:p>
            <w:pPr>
              <w:spacing w:before="0" w:after="0" w:line="264" w:lineRule="auto"/>
            </w:pPr>
            <w:r/>
            <w:r>
              <w:rPr>
                <w:rFonts w:ascii="Times New Roman" w:hAnsi="Times New Roman"/>
                <w:b w:val="0"/>
                <w:i w:val="0"/>
                <w:sz w:val="20"/>
              </w:rPr>
              <w:t>0.06 (0.06-0.06)</w:t>
            </w:r>
          </w:p>
        </w:tc>
      </w:tr>
    </w:tbl>
    <w:p>
      <w:pPr>
        <w:spacing w:after="120"/>
      </w:pPr>
    </w:p>
    <w:p>
      <w:pPr>
        <w:spacing w:before="0" w:after="120" w:line="312" w:lineRule="auto"/>
        <w:jc w:val="both"/>
      </w:pPr>
      <w:r>
        <w:rPr>
          <w:rFonts w:ascii="Times New Roman" w:hAnsi="Times New Roman"/>
          <w:b w:val="0"/>
          <w:i w:val="0"/>
          <w:sz w:val="21"/>
        </w:rPr>
        <w:t>Per-timepoint n measured, percentage MRD-positive, median log₁₀ hEG with IQR. Denominators reconciled in Table S15.</w:t>
      </w:r>
    </w:p>
    <w:p>
      <w:pPr>
        <w:keepNext/>
        <w:spacing w:before="200" w:after="120" w:line="288" w:lineRule="auto"/>
      </w:pPr>
      <w:r>
        <w:rPr>
          <w:rFonts w:ascii="Times New Roman" w:hAnsi="Times New Roman"/>
          <w:b/>
          <w:i/>
          <w:sz w:val="26"/>
        </w:rPr>
        <w:t>Supplemental Table S10. Time to first MRD-negative sample by JLCM class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shd w:val="clear" w:color="auto" w:fill="E7E6E6"/>
          </w:tcPr>
          <w:p>
            <w:pPr>
              <w:spacing w:before="0" w:after="0" w:line="264" w:lineRule="auto"/>
            </w:pPr>
            <w:r/>
            <w:r>
              <w:rPr>
                <w:rFonts w:ascii="Times New Roman" w:hAnsi="Times New Roman"/>
                <w:b/>
                <w:i w:val="0"/>
                <w:sz w:val="20"/>
              </w:rPr>
              <w:t>class</w:t>
            </w:r>
          </w:p>
        </w:tc>
        <w:tc>
          <w:tcPr>
            <w:tcW w:type="dxa" w:w="1176"/>
            <w:vAlign w:val="center"/>
            <w:shd w:val="clear" w:color="auto" w:fill="E7E6E6"/>
          </w:tcPr>
          <w:p>
            <w:pPr>
              <w:spacing w:before="0" w:after="0" w:line="264" w:lineRule="auto"/>
            </w:pPr>
            <w:r/>
            <w:r>
              <w:rPr>
                <w:rFonts w:ascii="Times New Roman" w:hAnsi="Times New Roman"/>
                <w:b/>
                <w:i w:val="0"/>
                <w:sz w:val="20"/>
              </w:rPr>
              <w:t>n_total</w:t>
            </w:r>
          </w:p>
        </w:tc>
        <w:tc>
          <w:tcPr>
            <w:tcW w:type="dxa" w:w="1176"/>
            <w:vAlign w:val="center"/>
            <w:shd w:val="clear" w:color="auto" w:fill="E7E6E6"/>
          </w:tcPr>
          <w:p>
            <w:pPr>
              <w:spacing w:before="0" w:after="0" w:line="264" w:lineRule="auto"/>
            </w:pPr>
            <w:r/>
            <w:r>
              <w:rPr>
                <w:rFonts w:ascii="Times New Roman" w:hAnsi="Times New Roman"/>
                <w:b/>
                <w:i w:val="0"/>
                <w:sz w:val="20"/>
              </w:rPr>
              <w:t>n_MRDneg_ach</w:t>
            </w:r>
          </w:p>
        </w:tc>
        <w:tc>
          <w:tcPr>
            <w:tcW w:type="dxa" w:w="1176"/>
            <w:vAlign w:val="center"/>
            <w:shd w:val="clear" w:color="auto" w:fill="E7E6E6"/>
          </w:tcPr>
          <w:p>
            <w:pPr>
              <w:spacing w:before="0" w:after="0" w:line="264" w:lineRule="auto"/>
            </w:pPr>
            <w:r/>
            <w:r>
              <w:rPr>
                <w:rFonts w:ascii="Times New Roman" w:hAnsi="Times New Roman"/>
                <w:b/>
                <w:i w:val="0"/>
                <w:sz w:val="20"/>
              </w:rPr>
              <w:t>median_time_to_neg_m</w:t>
            </w:r>
          </w:p>
        </w:tc>
        <w:tc>
          <w:tcPr>
            <w:tcW w:type="dxa" w:w="1176"/>
            <w:vAlign w:val="center"/>
            <w:shd w:val="clear" w:color="auto" w:fill="E7E6E6"/>
          </w:tcPr>
          <w:p>
            <w:pPr>
              <w:spacing w:before="0" w:after="0" w:line="264" w:lineRule="auto"/>
            </w:pPr>
            <w:r/>
            <w:r>
              <w:rPr>
                <w:rFonts w:ascii="Times New Roman" w:hAnsi="Times New Roman"/>
                <w:b/>
                <w:i w:val="0"/>
                <w:sz w:val="20"/>
              </w:rPr>
              <w:t>pct_MRDneg_at_3m</w:t>
            </w:r>
          </w:p>
        </w:tc>
        <w:tc>
          <w:tcPr>
            <w:tcW w:type="dxa" w:w="1176"/>
            <w:vAlign w:val="center"/>
            <w:shd w:val="clear" w:color="auto" w:fill="E7E6E6"/>
          </w:tcPr>
          <w:p>
            <w:pPr>
              <w:spacing w:before="0" w:after="0" w:line="264" w:lineRule="auto"/>
            </w:pPr>
            <w:r/>
            <w:r>
              <w:rPr>
                <w:rFonts w:ascii="Times New Roman" w:hAnsi="Times New Roman"/>
                <w:b/>
                <w:i w:val="0"/>
                <w:sz w:val="20"/>
              </w:rPr>
              <w:t>pct_MRDneg_at_6m</w:t>
            </w:r>
          </w:p>
        </w:tc>
        <w:tc>
          <w:tcPr>
            <w:tcW w:type="dxa" w:w="1176"/>
            <w:vAlign w:val="center"/>
            <w:shd w:val="clear" w:color="auto" w:fill="E7E6E6"/>
          </w:tcPr>
          <w:p>
            <w:pPr>
              <w:spacing w:before="0" w:after="0" w:line="264" w:lineRule="auto"/>
            </w:pPr>
            <w:r/>
            <w:r>
              <w:rPr>
                <w:rFonts w:ascii="Times New Roman" w:hAnsi="Times New Roman"/>
                <w:b/>
                <w:i w:val="0"/>
                <w:sz w:val="20"/>
              </w:rPr>
              <w:t>pct_MRDneg_at_12m</w:t>
            </w:r>
          </w:p>
        </w:tc>
        <w:tc>
          <w:tcPr>
            <w:tcW w:type="dxa" w:w="1176"/>
            <w:vAlign w:val="center"/>
            <w:shd w:val="clear" w:color="auto" w:fill="E7E6E6"/>
          </w:tcPr>
          <w:p>
            <w:pPr>
              <w:spacing w:before="0" w:after="0" w:line="264" w:lineRule="auto"/>
            </w:pPr>
            <w:r/>
            <w:r>
              <w:rPr>
                <w:rFonts w:ascii="Times New Roman" w:hAnsi="Times New Roman"/>
                <w:b/>
                <w:i w:val="0"/>
                <w:sz w:val="20"/>
              </w:rPr>
              <w:t>pct_persistent_MRDpos_at_M12</w:t>
            </w:r>
          </w:p>
        </w:tc>
      </w:tr>
      <w:tr>
        <w:tc>
          <w:tcPr>
            <w:tcW w:type="dxa" w:w="1176"/>
            <w:vAlign w:val="center"/>
          </w:tcPr>
          <w:p>
            <w:pPr>
              <w:spacing w:before="0" w:after="0" w:line="264" w:lineRule="auto"/>
            </w:pPr>
            <w:r/>
            <w:r>
              <w:rPr>
                <w:rFonts w:ascii="Times New Roman" w:hAnsi="Times New Roman"/>
                <w:b w:val="0"/>
                <w:i w:val="0"/>
                <w:sz w:val="20"/>
              </w:rPr>
              <w:t>low-risk</w:t>
            </w:r>
          </w:p>
        </w:tc>
        <w:tc>
          <w:tcPr>
            <w:tcW w:type="dxa" w:w="1176"/>
            <w:vAlign w:val="center"/>
          </w:tcPr>
          <w:p>
            <w:pPr>
              <w:spacing w:before="0" w:after="0" w:line="264" w:lineRule="auto"/>
            </w:pPr>
            <w:r/>
            <w:r>
              <w:rPr>
                <w:rFonts w:ascii="Times New Roman" w:hAnsi="Times New Roman"/>
                <w:b w:val="0"/>
                <w:i w:val="0"/>
                <w:sz w:val="20"/>
              </w:rPr>
              <w:t>22.0</w:t>
            </w:r>
          </w:p>
        </w:tc>
        <w:tc>
          <w:tcPr>
            <w:tcW w:type="dxa" w:w="1176"/>
            <w:vAlign w:val="center"/>
          </w:tcPr>
          <w:p>
            <w:pPr>
              <w:spacing w:before="0" w:after="0" w:line="264" w:lineRule="auto"/>
            </w:pPr>
            <w:r/>
            <w:r>
              <w:rPr>
                <w:rFonts w:ascii="Times New Roman" w:hAnsi="Times New Roman"/>
                <w:b w:val="0"/>
                <w:i w:val="0"/>
                <w:sz w:val="20"/>
              </w:rPr>
              <w:t>20.0</w:t>
            </w:r>
          </w:p>
        </w:tc>
        <w:tc>
          <w:tcPr>
            <w:tcW w:type="dxa" w:w="1176"/>
            <w:vAlign w:val="center"/>
          </w:tcPr>
          <w:p>
            <w:pPr>
              <w:spacing w:before="0" w:after="0" w:line="264" w:lineRule="auto"/>
            </w:pPr>
            <w:r/>
            <w:r>
              <w:rPr>
                <w:rFonts w:ascii="Times New Roman" w:hAnsi="Times New Roman"/>
                <w:b w:val="0"/>
                <w:i w:val="0"/>
                <w:sz w:val="20"/>
              </w:rPr>
              <w:t>0.459921156373193</w:t>
            </w:r>
          </w:p>
        </w:tc>
        <w:tc>
          <w:tcPr>
            <w:tcW w:type="dxa" w:w="1176"/>
            <w:vAlign w:val="center"/>
          </w:tcPr>
          <w:p>
            <w:pPr>
              <w:spacing w:before="0" w:after="0" w:line="264" w:lineRule="auto"/>
            </w:pPr>
            <w:r/>
            <w:r>
              <w:rPr>
                <w:rFonts w:ascii="Times New Roman" w:hAnsi="Times New Roman"/>
                <w:b w:val="0"/>
                <w:i w:val="0"/>
                <w:sz w:val="20"/>
              </w:rPr>
              <w:t>86.4</w:t>
            </w:r>
          </w:p>
        </w:tc>
        <w:tc>
          <w:tcPr>
            <w:tcW w:type="dxa" w:w="1176"/>
            <w:vAlign w:val="center"/>
          </w:tcPr>
          <w:p>
            <w:pPr>
              <w:spacing w:before="0" w:after="0" w:line="264" w:lineRule="auto"/>
            </w:pPr>
            <w:r/>
            <w:r>
              <w:rPr>
                <w:rFonts w:ascii="Times New Roman" w:hAnsi="Times New Roman"/>
                <w:b w:val="0"/>
                <w:i w:val="0"/>
                <w:sz w:val="20"/>
              </w:rPr>
              <w:t>90.9</w:t>
            </w:r>
          </w:p>
        </w:tc>
        <w:tc>
          <w:tcPr>
            <w:tcW w:type="dxa" w:w="1176"/>
            <w:vAlign w:val="center"/>
          </w:tcPr>
          <w:p>
            <w:pPr>
              <w:spacing w:before="0" w:after="0" w:line="264" w:lineRule="auto"/>
            </w:pPr>
            <w:r/>
            <w:r>
              <w:rPr>
                <w:rFonts w:ascii="Times New Roman" w:hAnsi="Times New Roman"/>
                <w:b w:val="0"/>
                <w:i w:val="0"/>
                <w:sz w:val="20"/>
              </w:rPr>
              <w:t>90.9</w:t>
            </w:r>
          </w:p>
        </w:tc>
        <w:tc>
          <w:tcPr>
            <w:tcW w:type="dxa" w:w="1176"/>
            <w:vAlign w:val="center"/>
          </w:tcPr>
          <w:p>
            <w:pPr>
              <w:spacing w:before="0" w:after="0" w:line="264" w:lineRule="auto"/>
            </w:pPr>
            <w:r/>
            <w:r>
              <w:rPr>
                <w:rFonts w:ascii="Times New Roman" w:hAnsi="Times New Roman"/>
                <w:b w:val="0"/>
                <w:i w:val="0"/>
                <w:sz w:val="20"/>
              </w:rPr>
              <w:t>9.1</w:t>
            </w:r>
          </w:p>
        </w:tc>
      </w:tr>
      <w:tr>
        <w:tc>
          <w:tcPr>
            <w:tcW w:type="dxa" w:w="1176"/>
            <w:vAlign w:val="center"/>
          </w:tcPr>
          <w:p>
            <w:pPr>
              <w:spacing w:before="0" w:after="0" w:line="264" w:lineRule="auto"/>
            </w:pPr>
            <w:r/>
            <w:r>
              <w:rPr>
                <w:rFonts w:ascii="Times New Roman" w:hAnsi="Times New Roman"/>
                <w:b w:val="0"/>
                <w:i w:val="0"/>
                <w:sz w:val="20"/>
              </w:rPr>
              <w:t>high-risk</w:t>
            </w:r>
          </w:p>
        </w:tc>
        <w:tc>
          <w:tcPr>
            <w:tcW w:type="dxa" w:w="1176"/>
            <w:vAlign w:val="center"/>
          </w:tcPr>
          <w:p>
            <w:pPr>
              <w:spacing w:before="0" w:after="0" w:line="264" w:lineRule="auto"/>
            </w:pPr>
            <w:r/>
            <w:r>
              <w:rPr>
                <w:rFonts w:ascii="Times New Roman" w:hAnsi="Times New Roman"/>
                <w:b w:val="0"/>
                <w:i w:val="0"/>
                <w:sz w:val="20"/>
              </w:rPr>
              <w:t>22.0</w:t>
            </w:r>
          </w:p>
        </w:tc>
        <w:tc>
          <w:tcPr>
            <w:tcW w:type="dxa" w:w="1176"/>
            <w:vAlign w:val="center"/>
          </w:tcPr>
          <w:p>
            <w:pPr>
              <w:spacing w:before="0" w:after="0" w:line="264" w:lineRule="auto"/>
            </w:pPr>
            <w:r/>
            <w:r>
              <w:rPr>
                <w:rFonts w:ascii="Times New Roman" w:hAnsi="Times New Roman"/>
                <w:b w:val="0"/>
                <w:i w:val="0"/>
                <w:sz w:val="20"/>
              </w:rPr>
              <w:t>11.0</w:t>
            </w:r>
          </w:p>
        </w:tc>
        <w:tc>
          <w:tcPr>
            <w:tcW w:type="dxa" w:w="1176"/>
            <w:vAlign w:val="center"/>
          </w:tcPr>
          <w:p>
            <w:pPr>
              <w:spacing w:before="0" w:after="0" w:line="264" w:lineRule="auto"/>
            </w:pPr>
            <w:r/>
            <w:r>
              <w:rPr>
                <w:rFonts w:ascii="Times New Roman" w:hAnsi="Times New Roman"/>
                <w:b w:val="0"/>
                <w:i w:val="0"/>
                <w:sz w:val="20"/>
              </w:rPr>
              <w:t>2.98948751642576</w:t>
            </w:r>
          </w:p>
        </w:tc>
        <w:tc>
          <w:tcPr>
            <w:tcW w:type="dxa" w:w="1176"/>
            <w:vAlign w:val="center"/>
          </w:tcPr>
          <w:p>
            <w:pPr>
              <w:spacing w:before="0" w:after="0" w:line="264" w:lineRule="auto"/>
            </w:pPr>
            <w:r/>
            <w:r>
              <w:rPr>
                <w:rFonts w:ascii="Times New Roman" w:hAnsi="Times New Roman"/>
                <w:b w:val="0"/>
                <w:i w:val="0"/>
                <w:sz w:val="20"/>
              </w:rPr>
              <w:t>61.8</w:t>
            </w:r>
          </w:p>
        </w:tc>
        <w:tc>
          <w:tcPr>
            <w:tcW w:type="dxa" w:w="1176"/>
            <w:vAlign w:val="center"/>
          </w:tcPr>
          <w:p>
            <w:pPr>
              <w:spacing w:before="0" w:after="0" w:line="264" w:lineRule="auto"/>
            </w:pPr>
            <w:r/>
            <w:r>
              <w:rPr>
                <w:rFonts w:ascii="Times New Roman" w:hAnsi="Times New Roman"/>
                <w:b w:val="0"/>
                <w:i w:val="0"/>
                <w:sz w:val="20"/>
              </w:rPr>
              <w:t>74.5</w:t>
            </w:r>
          </w:p>
        </w:tc>
        <w:tc>
          <w:tcPr>
            <w:tcW w:type="dxa" w:w="1176"/>
            <w:vAlign w:val="center"/>
          </w:tcPr>
          <w:p>
            <w:pPr>
              <w:spacing w:before="0" w:after="0" w:line="264" w:lineRule="auto"/>
            </w:pPr>
            <w:r/>
            <w:r>
              <w:rPr>
                <w:rFonts w:ascii="Times New Roman" w:hAnsi="Times New Roman"/>
                <w:b w:val="0"/>
                <w:i w:val="0"/>
                <w:sz w:val="20"/>
              </w:rPr>
              <w:t>74.5</w:t>
            </w:r>
          </w:p>
        </w:tc>
        <w:tc>
          <w:tcPr>
            <w:tcW w:type="dxa" w:w="1176"/>
            <w:vAlign w:val="center"/>
          </w:tcPr>
          <w:p>
            <w:pPr>
              <w:spacing w:before="0" w:after="0" w:line="264" w:lineRule="auto"/>
            </w:pPr>
            <w:r/>
            <w:r>
              <w:rPr>
                <w:rFonts w:ascii="Times New Roman" w:hAnsi="Times New Roman"/>
                <w:b w:val="0"/>
                <w:i w:val="0"/>
                <w:sz w:val="20"/>
              </w:rPr>
              <w:t>25.5</w:t>
            </w:r>
          </w:p>
        </w:tc>
      </w:tr>
      <w:tr>
        <w:tc>
          <w:tcPr>
            <w:tcW w:type="dxa" w:w="1176"/>
            <w:vAlign w:val="center"/>
          </w:tcPr>
          <w:p>
            <w:pPr>
              <w:spacing w:before="0" w:after="0" w:line="264" w:lineRule="auto"/>
            </w:pPr>
            <w:r/>
            <w:r>
              <w:rPr>
                <w:rFonts w:ascii="Times New Roman" w:hAnsi="Times New Roman"/>
                <w:b w:val="0"/>
                <w:i w:val="0"/>
                <w:sz w:val="20"/>
              </w:rPr>
              <w:t>logrank_p</w:t>
            </w:r>
          </w:p>
        </w:tc>
        <w:tc>
          <w:tcPr>
            <w:tcW w:type="dxa" w:w="1176"/>
            <w:vAlign w:val="center"/>
          </w:tcPr>
          <w:p>
            <w:pPr>
              <w:spacing w:before="0" w:after="0" w:line="264" w:lineRule="auto"/>
            </w:pPr>
            <w:r/>
          </w:p>
        </w:tc>
        <w:tc>
          <w:tcPr>
            <w:tcW w:type="dxa" w:w="1176"/>
            <w:vAlign w:val="center"/>
          </w:tcPr>
          <w:p>
            <w:pPr>
              <w:spacing w:before="0" w:after="0" w:line="264" w:lineRule="auto"/>
            </w:pPr>
            <w:r/>
          </w:p>
        </w:tc>
        <w:tc>
          <w:tcPr>
            <w:tcW w:type="dxa" w:w="1176"/>
            <w:vAlign w:val="center"/>
          </w:tcPr>
          <w:p>
            <w:pPr>
              <w:spacing w:before="0" w:after="0" w:line="264" w:lineRule="auto"/>
            </w:pPr>
            <w:r/>
          </w:p>
        </w:tc>
        <w:tc>
          <w:tcPr>
            <w:tcW w:type="dxa" w:w="1176"/>
            <w:vAlign w:val="center"/>
          </w:tcPr>
          <w:p>
            <w:pPr>
              <w:spacing w:before="0" w:after="0" w:line="264" w:lineRule="auto"/>
            </w:pPr>
            <w:r/>
          </w:p>
        </w:tc>
        <w:tc>
          <w:tcPr>
            <w:tcW w:type="dxa" w:w="1176"/>
            <w:vAlign w:val="center"/>
          </w:tcPr>
          <w:p>
            <w:pPr>
              <w:spacing w:before="0" w:after="0" w:line="264" w:lineRule="auto"/>
            </w:pPr>
            <w:r/>
          </w:p>
        </w:tc>
        <w:tc>
          <w:tcPr>
            <w:tcW w:type="dxa" w:w="1176"/>
            <w:vAlign w:val="center"/>
          </w:tcPr>
          <w:p>
            <w:pPr>
              <w:spacing w:before="0" w:after="0" w:line="264" w:lineRule="auto"/>
            </w:pPr>
            <w:r/>
          </w:p>
        </w:tc>
        <w:tc>
          <w:tcPr>
            <w:tcW w:type="dxa" w:w="1176"/>
            <w:vAlign w:val="center"/>
          </w:tcPr>
          <w:p>
            <w:pPr>
              <w:spacing w:before="0" w:after="0" w:line="264" w:lineRule="auto"/>
            </w:pPr>
            <w:r/>
            <w:r>
              <w:rPr>
                <w:rFonts w:ascii="Times New Roman" w:hAnsi="Times New Roman"/>
                <w:b w:val="0"/>
                <w:i w:val="0"/>
                <w:sz w:val="20"/>
              </w:rPr>
              <w:t>0.0159013594305567</w:t>
            </w:r>
          </w:p>
        </w:tc>
      </w:tr>
    </w:tbl>
    <w:p>
      <w:pPr>
        <w:spacing w:after="120"/>
      </w:pPr>
    </w:p>
    <w:p>
      <w:pPr>
        <w:spacing w:before="0" w:after="120" w:line="312" w:lineRule="auto"/>
        <w:jc w:val="both"/>
      </w:pPr>
      <w:r>
        <w:rPr>
          <w:rFonts w:ascii="Times New Roman" w:hAnsi="Times New Roman"/>
          <w:b w:val="0"/>
          <w:i w:val="0"/>
          <w:sz w:val="21"/>
        </w:rPr>
        <w:t>Median time to first MRD-negative status, proportion MRD-negative at months 3, 6, and 12, and persistent MRD-positive rate at month 12 by JLCM class.</w:t>
      </w:r>
    </w:p>
    <w:p>
      <w:pPr>
        <w:keepNext/>
        <w:spacing w:before="200" w:after="120" w:line="288" w:lineRule="auto"/>
      </w:pPr>
      <w:r>
        <w:rPr>
          <w:rFonts w:ascii="Times New Roman" w:hAnsi="Times New Roman"/>
          <w:b/>
          <w:i/>
          <w:sz w:val="26"/>
        </w:rPr>
        <w:t>Supplemental Table S11. Lead time from molecular relapse to clinical progression</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E7E6E6"/>
          </w:tcPr>
          <w:p>
            <w:pPr>
              <w:spacing w:before="0" w:after="0" w:line="264" w:lineRule="auto"/>
            </w:pPr>
            <w:r/>
            <w:r>
              <w:rPr>
                <w:rFonts w:ascii="Times New Roman" w:hAnsi="Times New Roman"/>
                <w:b/>
                <w:i w:val="0"/>
                <w:sz w:val="20"/>
              </w:rPr>
              <w:t>Subset</w:t>
            </w:r>
          </w:p>
        </w:tc>
        <w:tc>
          <w:tcPr>
            <w:tcW w:type="dxa" w:w="2351"/>
            <w:vAlign w:val="center"/>
            <w:shd w:val="clear" w:color="auto" w:fill="E7E6E6"/>
          </w:tcPr>
          <w:p>
            <w:pPr>
              <w:spacing w:before="0" w:after="0" w:line="264" w:lineRule="auto"/>
            </w:pPr>
            <w:r/>
            <w:r>
              <w:rPr>
                <w:rFonts w:ascii="Times New Roman" w:hAnsi="Times New Roman"/>
                <w:b/>
                <w:i w:val="0"/>
                <w:sz w:val="20"/>
              </w:rPr>
              <w:t>n with lead time</w:t>
            </w:r>
          </w:p>
        </w:tc>
        <w:tc>
          <w:tcPr>
            <w:tcW w:type="dxa" w:w="2351"/>
            <w:vAlign w:val="center"/>
            <w:shd w:val="clear" w:color="auto" w:fill="E7E6E6"/>
          </w:tcPr>
          <w:p>
            <w:pPr>
              <w:spacing w:before="0" w:after="0" w:line="264" w:lineRule="auto"/>
            </w:pPr>
            <w:r/>
            <w:r>
              <w:rPr>
                <w:rFonts w:ascii="Times New Roman" w:hAnsi="Times New Roman"/>
                <w:b/>
                <w:i w:val="0"/>
                <w:sz w:val="20"/>
              </w:rPr>
              <w:t>Median (months)</w:t>
            </w:r>
          </w:p>
        </w:tc>
        <w:tc>
          <w:tcPr>
            <w:tcW w:type="dxa" w:w="2351"/>
            <w:vAlign w:val="center"/>
            <w:shd w:val="clear" w:color="auto" w:fill="E7E6E6"/>
          </w:tcPr>
          <w:p>
            <w:pPr>
              <w:spacing w:before="0" w:after="0" w:line="264" w:lineRule="auto"/>
            </w:pPr>
            <w:r/>
            <w:r>
              <w:rPr>
                <w:rFonts w:ascii="Times New Roman" w:hAnsi="Times New Roman"/>
                <w:b/>
                <w:i w:val="0"/>
                <w:sz w:val="20"/>
              </w:rPr>
              <w:t>IQR (months)</w:t>
            </w:r>
          </w:p>
        </w:tc>
      </w:tr>
      <w:tr>
        <w:tc>
          <w:tcPr>
            <w:tcW w:type="dxa" w:w="2351"/>
            <w:vAlign w:val="center"/>
          </w:tcPr>
          <w:p>
            <w:pPr>
              <w:spacing w:before="0" w:after="0" w:line="264" w:lineRule="auto"/>
            </w:pPr>
            <w:r/>
            <w:r>
              <w:rPr>
                <w:rFonts w:ascii="Times New Roman" w:hAnsi="Times New Roman"/>
                <w:b w:val="0"/>
                <w:i w:val="0"/>
                <w:sz w:val="20"/>
              </w:rPr>
              <w:t>Low-risk (classifiable)</w:t>
            </w:r>
          </w:p>
        </w:tc>
        <w:tc>
          <w:tcPr>
            <w:tcW w:type="dxa" w:w="2351"/>
            <w:vAlign w:val="center"/>
          </w:tcPr>
          <w:p>
            <w:pPr>
              <w:spacing w:before="0" w:after="0" w:line="264" w:lineRule="auto"/>
            </w:pPr>
            <w:r/>
            <w:r>
              <w:rPr>
                <w:rFonts w:ascii="Times New Roman" w:hAnsi="Times New Roman"/>
                <w:b w:val="0"/>
                <w:i w:val="0"/>
                <w:sz w:val="20"/>
              </w:rPr>
              <w:t>1</w:t>
            </w:r>
          </w:p>
        </w:tc>
        <w:tc>
          <w:tcPr>
            <w:tcW w:type="dxa" w:w="2351"/>
            <w:vAlign w:val="center"/>
          </w:tcPr>
          <w:p>
            <w:pPr>
              <w:spacing w:before="0" w:after="0" w:line="264" w:lineRule="auto"/>
            </w:pPr>
            <w:r/>
            <w:r>
              <w:rPr>
                <w:rFonts w:ascii="Times New Roman" w:hAnsi="Times New Roman"/>
                <w:b w:val="0"/>
                <w:i w:val="0"/>
                <w:sz w:val="20"/>
              </w:rPr>
              <w:t>28.98</w:t>
            </w:r>
          </w:p>
        </w:tc>
        <w:tc>
          <w:tcPr>
            <w:tcW w:type="dxa" w:w="2351"/>
            <w:vAlign w:val="center"/>
          </w:tcPr>
          <w:p>
            <w:pPr>
              <w:spacing w:before="0" w:after="0" w:line="264" w:lineRule="auto"/>
            </w:pPr>
            <w:r/>
            <w:r>
              <w:rPr>
                <w:rFonts w:ascii="Times New Roman" w:hAnsi="Times New Roman"/>
                <w:b w:val="0"/>
                <w:i w:val="0"/>
                <w:sz w:val="20"/>
              </w:rPr>
              <w:t>—</w:t>
            </w:r>
          </w:p>
        </w:tc>
      </w:tr>
      <w:tr>
        <w:tc>
          <w:tcPr>
            <w:tcW w:type="dxa" w:w="2351"/>
            <w:vAlign w:val="center"/>
          </w:tcPr>
          <w:p>
            <w:pPr>
              <w:spacing w:before="0" w:after="0" w:line="264" w:lineRule="auto"/>
            </w:pPr>
            <w:r/>
            <w:r>
              <w:rPr>
                <w:rFonts w:ascii="Times New Roman" w:hAnsi="Times New Roman"/>
                <w:b w:val="0"/>
                <w:i w:val="0"/>
                <w:sz w:val="20"/>
              </w:rPr>
              <w:t>High-risk (classifiable)</w:t>
            </w:r>
          </w:p>
        </w:tc>
        <w:tc>
          <w:tcPr>
            <w:tcW w:type="dxa" w:w="2351"/>
            <w:vAlign w:val="center"/>
          </w:tcPr>
          <w:p>
            <w:pPr>
              <w:spacing w:before="0" w:after="0" w:line="264" w:lineRule="auto"/>
            </w:pPr>
            <w:r/>
            <w:r>
              <w:rPr>
                <w:rFonts w:ascii="Times New Roman" w:hAnsi="Times New Roman"/>
                <w:b w:val="0"/>
                <w:i w:val="0"/>
                <w:sz w:val="20"/>
              </w:rPr>
              <w:t>11</w:t>
            </w:r>
          </w:p>
        </w:tc>
        <w:tc>
          <w:tcPr>
            <w:tcW w:type="dxa" w:w="2351"/>
            <w:vAlign w:val="center"/>
          </w:tcPr>
          <w:p>
            <w:pPr>
              <w:spacing w:before="0" w:after="0" w:line="264" w:lineRule="auto"/>
            </w:pPr>
            <w:r/>
            <w:r>
              <w:rPr>
                <w:rFonts w:ascii="Times New Roman" w:hAnsi="Times New Roman"/>
                <w:b w:val="0"/>
                <w:i w:val="0"/>
                <w:sz w:val="20"/>
              </w:rPr>
              <w:t>1.94</w:t>
            </w:r>
          </w:p>
        </w:tc>
        <w:tc>
          <w:tcPr>
            <w:tcW w:type="dxa" w:w="2351"/>
            <w:vAlign w:val="center"/>
          </w:tcPr>
          <w:p>
            <w:pPr>
              <w:spacing w:before="0" w:after="0" w:line="264" w:lineRule="auto"/>
            </w:pPr>
            <w:r/>
            <w:r>
              <w:rPr>
                <w:rFonts w:ascii="Times New Roman" w:hAnsi="Times New Roman"/>
                <w:b w:val="0"/>
                <w:i w:val="0"/>
                <w:sz w:val="20"/>
              </w:rPr>
              <w:t>0.81-4.99</w:t>
            </w:r>
          </w:p>
        </w:tc>
      </w:tr>
      <w:tr>
        <w:tc>
          <w:tcPr>
            <w:tcW w:type="dxa" w:w="2351"/>
            <w:vAlign w:val="center"/>
          </w:tcPr>
          <w:p>
            <w:pPr>
              <w:spacing w:before="0" w:after="0" w:line="264" w:lineRule="auto"/>
            </w:pPr>
            <w:r/>
            <w:r>
              <w:rPr>
                <w:rFonts w:ascii="Times New Roman" w:hAnsi="Times New Roman"/>
                <w:b w:val="0"/>
                <w:i w:val="0"/>
                <w:sz w:val="20"/>
              </w:rPr>
              <w:t>Non-classifiable (missing covariates, with event)</w:t>
            </w:r>
          </w:p>
        </w:tc>
        <w:tc>
          <w:tcPr>
            <w:tcW w:type="dxa" w:w="2351"/>
            <w:vAlign w:val="center"/>
          </w:tcPr>
          <w:p>
            <w:pPr>
              <w:spacing w:before="0" w:after="0" w:line="264" w:lineRule="auto"/>
            </w:pPr>
            <w:r/>
            <w:r>
              <w:rPr>
                <w:rFonts w:ascii="Times New Roman" w:hAnsi="Times New Roman"/>
                <w:b w:val="0"/>
                <w:i w:val="0"/>
                <w:sz w:val="20"/>
              </w:rPr>
              <w:t>4</w:t>
            </w:r>
          </w:p>
        </w:tc>
        <w:tc>
          <w:tcPr>
            <w:tcW w:type="dxa" w:w="2351"/>
            <w:vAlign w:val="center"/>
          </w:tcPr>
          <w:p>
            <w:pPr>
              <w:spacing w:before="0" w:after="0" w:line="264" w:lineRule="auto"/>
            </w:pPr>
            <w:r/>
            <w:r>
              <w:rPr>
                <w:rFonts w:ascii="Times New Roman" w:hAnsi="Times New Roman"/>
                <w:b w:val="0"/>
                <w:i w:val="0"/>
                <w:sz w:val="20"/>
              </w:rPr>
              <w:t>≈1.74</w:t>
            </w:r>
          </w:p>
        </w:tc>
        <w:tc>
          <w:tcPr>
            <w:tcW w:type="dxa" w:w="2351"/>
            <w:vAlign w:val="center"/>
          </w:tcPr>
          <w:p>
            <w:pPr>
              <w:spacing w:before="0" w:after="0" w:line="264" w:lineRule="auto"/>
            </w:pPr>
            <w:r/>
            <w:r>
              <w:rPr>
                <w:rFonts w:ascii="Times New Roman" w:hAnsi="Times New Roman"/>
                <w:b w:val="0"/>
                <w:i w:val="0"/>
                <w:sz w:val="20"/>
              </w:rPr>
              <w:t>≈0.92-2.76</w:t>
            </w:r>
          </w:p>
        </w:tc>
      </w:tr>
      <w:tr>
        <w:tc>
          <w:tcPr>
            <w:tcW w:type="dxa" w:w="2351"/>
            <w:vAlign w:val="center"/>
          </w:tcPr>
          <w:p>
            <w:pPr>
              <w:spacing w:before="0" w:after="0" w:line="264" w:lineRule="auto"/>
            </w:pPr>
            <w:r/>
            <w:r>
              <w:rPr>
                <w:rFonts w:ascii="Times New Roman" w:hAnsi="Times New Roman"/>
                <w:b w:val="0"/>
                <w:i w:val="0"/>
                <w:sz w:val="20"/>
              </w:rPr>
              <w:t>Overall</w:t>
            </w:r>
          </w:p>
        </w:tc>
        <w:tc>
          <w:tcPr>
            <w:tcW w:type="dxa" w:w="2351"/>
            <w:vAlign w:val="center"/>
          </w:tcPr>
          <w:p>
            <w:pPr>
              <w:spacing w:before="0" w:after="0" w:line="264" w:lineRule="auto"/>
            </w:pPr>
            <w:r/>
            <w:r>
              <w:rPr>
                <w:rFonts w:ascii="Times New Roman" w:hAnsi="Times New Roman"/>
                <w:b w:val="0"/>
                <w:i w:val="0"/>
                <w:sz w:val="20"/>
              </w:rPr>
              <w:t>16</w:t>
            </w:r>
          </w:p>
        </w:tc>
        <w:tc>
          <w:tcPr>
            <w:tcW w:type="dxa" w:w="2351"/>
            <w:vAlign w:val="center"/>
          </w:tcPr>
          <w:p>
            <w:pPr>
              <w:spacing w:before="0" w:after="0" w:line="264" w:lineRule="auto"/>
            </w:pPr>
            <w:r/>
            <w:r>
              <w:rPr>
                <w:rFonts w:ascii="Times New Roman" w:hAnsi="Times New Roman"/>
                <w:b w:val="0"/>
                <w:i w:val="0"/>
                <w:sz w:val="20"/>
              </w:rPr>
              <w:t>2.25</w:t>
            </w:r>
          </w:p>
        </w:tc>
        <w:tc>
          <w:tcPr>
            <w:tcW w:type="dxa" w:w="2351"/>
            <w:vAlign w:val="center"/>
          </w:tcPr>
          <w:p>
            <w:pPr>
              <w:spacing w:before="0" w:after="0" w:line="264" w:lineRule="auto"/>
            </w:pPr>
            <w:r/>
            <w:r>
              <w:rPr>
                <w:rFonts w:ascii="Times New Roman" w:hAnsi="Times New Roman"/>
                <w:b w:val="0"/>
                <w:i w:val="0"/>
                <w:sz w:val="20"/>
              </w:rPr>
              <w:t>0.92-4.96</w:t>
            </w:r>
          </w:p>
        </w:tc>
      </w:tr>
    </w:tbl>
    <w:p>
      <w:pPr>
        <w:spacing w:after="120"/>
      </w:pPr>
    </w:p>
    <w:p>
      <w:pPr>
        <w:spacing w:before="0" w:after="120" w:line="312" w:lineRule="auto"/>
        <w:jc w:val="both"/>
      </w:pPr>
      <w:r>
        <w:rPr>
          <w:rFonts w:ascii="Times New Roman" w:hAnsi="Times New Roman"/>
          <w:b w:val="0"/>
          <w:i w:val="0"/>
          <w:sz w:val="21"/>
        </w:rPr>
        <w:t xml:space="preserve">Lead time = months between first post-clearance MRD-positive sample (molecular relapse) and the clinical EFS event. The 4 non-classifiable patients had a documented EFS event and a quantifiable molecular-relapse-to-clinical-relapse lead time but lacked complete IPI or baseline-MTV covariates required for </w:t>
      </w:r>
      <w:r>
        <w:rPr>
          <w:rFonts w:ascii="Consolas" w:hAnsi="Consolas"/>
          <w:sz w:val="21"/>
        </w:rPr>
        <w:t>predictClass</w:t>
      </w:r>
      <w:r>
        <w:rPr>
          <w:rFonts w:ascii="Times New Roman" w:hAnsi="Times New Roman"/>
          <w:b w:val="0"/>
          <w:i w:val="0"/>
          <w:sz w:val="21"/>
        </w:rPr>
        <w:t>; they are reported here for completeness but are not included in the survival analyses. The 11 + 1 + 4 = 16 add up to the overall lead-time denominator.</w:t>
      </w:r>
    </w:p>
    <w:p>
      <w:pPr>
        <w:keepNext/>
        <w:spacing w:before="200" w:after="120" w:line="288" w:lineRule="auto"/>
      </w:pPr>
      <w:r>
        <w:rPr>
          <w:rFonts w:ascii="Times New Roman" w:hAnsi="Times New Roman"/>
          <w:b/>
          <w:i/>
          <w:sz w:val="26"/>
        </w:rPr>
        <w:t>Supplemental Table S12. Univariable Cox HR for Deauville and Lugano covariates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shd w:val="clear" w:color="auto" w:fill="E7E6E6"/>
          </w:tcPr>
          <w:p>
            <w:pPr>
              <w:spacing w:before="0" w:after="0" w:line="264" w:lineRule="auto"/>
            </w:pPr>
            <w:r/>
            <w:r>
              <w:rPr>
                <w:rFonts w:ascii="Times New Roman" w:hAnsi="Times New Roman"/>
                <w:b/>
                <w:i w:val="0"/>
                <w:sz w:val="20"/>
              </w:rPr>
              <w:t>label</w:t>
            </w:r>
          </w:p>
        </w:tc>
        <w:tc>
          <w:tcPr>
            <w:tcW w:type="dxa" w:w="1176"/>
            <w:vAlign w:val="center"/>
            <w:shd w:val="clear" w:color="auto" w:fill="E7E6E6"/>
          </w:tcPr>
          <w:p>
            <w:pPr>
              <w:spacing w:before="0" w:after="0" w:line="264" w:lineRule="auto"/>
            </w:pPr>
            <w:r/>
            <w:r>
              <w:rPr>
                <w:rFonts w:ascii="Times New Roman" w:hAnsi="Times New Roman"/>
                <w:b/>
                <w:i w:val="0"/>
                <w:sz w:val="20"/>
              </w:rPr>
              <w:t>n</w:t>
            </w:r>
          </w:p>
        </w:tc>
        <w:tc>
          <w:tcPr>
            <w:tcW w:type="dxa" w:w="1176"/>
            <w:vAlign w:val="center"/>
            <w:shd w:val="clear" w:color="auto" w:fill="E7E6E6"/>
          </w:tcPr>
          <w:p>
            <w:pPr>
              <w:spacing w:before="0" w:after="0" w:line="264" w:lineRule="auto"/>
            </w:pPr>
            <w:r/>
            <w:r>
              <w:rPr>
                <w:rFonts w:ascii="Times New Roman" w:hAnsi="Times New Roman"/>
                <w:b/>
                <w:i w:val="0"/>
                <w:sz w:val="20"/>
              </w:rPr>
              <w:t>n_events</w:t>
            </w:r>
          </w:p>
        </w:tc>
        <w:tc>
          <w:tcPr>
            <w:tcW w:type="dxa" w:w="1176"/>
            <w:vAlign w:val="center"/>
            <w:shd w:val="clear" w:color="auto" w:fill="E7E6E6"/>
          </w:tcPr>
          <w:p>
            <w:pPr>
              <w:spacing w:before="0" w:after="0" w:line="264" w:lineRule="auto"/>
            </w:pPr>
            <w:r/>
            <w:r>
              <w:rPr>
                <w:rFonts w:ascii="Times New Roman" w:hAnsi="Times New Roman"/>
                <w:b/>
                <w:i w:val="0"/>
                <w:sz w:val="20"/>
              </w:rPr>
              <w:t>HR</w:t>
            </w:r>
          </w:p>
        </w:tc>
        <w:tc>
          <w:tcPr>
            <w:tcW w:type="dxa" w:w="1176"/>
            <w:vAlign w:val="center"/>
            <w:shd w:val="clear" w:color="auto" w:fill="E7E6E6"/>
          </w:tcPr>
          <w:p>
            <w:pPr>
              <w:spacing w:before="0" w:after="0" w:line="264" w:lineRule="auto"/>
            </w:pPr>
            <w:r/>
            <w:r>
              <w:rPr>
                <w:rFonts w:ascii="Times New Roman" w:hAnsi="Times New Roman"/>
                <w:b/>
                <w:i w:val="0"/>
                <w:sz w:val="20"/>
              </w:rPr>
              <w:t>lower</w:t>
            </w:r>
          </w:p>
        </w:tc>
        <w:tc>
          <w:tcPr>
            <w:tcW w:type="dxa" w:w="1176"/>
            <w:vAlign w:val="center"/>
            <w:shd w:val="clear" w:color="auto" w:fill="E7E6E6"/>
          </w:tcPr>
          <w:p>
            <w:pPr>
              <w:spacing w:before="0" w:after="0" w:line="264" w:lineRule="auto"/>
            </w:pPr>
            <w:r/>
            <w:r>
              <w:rPr>
                <w:rFonts w:ascii="Times New Roman" w:hAnsi="Times New Roman"/>
                <w:b/>
                <w:i w:val="0"/>
                <w:sz w:val="20"/>
              </w:rPr>
              <w:t>upper</w:t>
            </w:r>
          </w:p>
        </w:tc>
        <w:tc>
          <w:tcPr>
            <w:tcW w:type="dxa" w:w="1176"/>
            <w:vAlign w:val="center"/>
            <w:shd w:val="clear" w:color="auto" w:fill="E7E6E6"/>
          </w:tcPr>
          <w:p>
            <w:pPr>
              <w:spacing w:before="0" w:after="0" w:line="264" w:lineRule="auto"/>
            </w:pPr>
            <w:r/>
            <w:r>
              <w:rPr>
                <w:rFonts w:ascii="Times New Roman" w:hAnsi="Times New Roman"/>
                <w:b/>
                <w:i w:val="0"/>
                <w:sz w:val="20"/>
              </w:rPr>
              <w:t>p</w:t>
            </w:r>
          </w:p>
        </w:tc>
        <w:tc>
          <w:tcPr>
            <w:tcW w:type="dxa" w:w="1176"/>
            <w:vAlign w:val="center"/>
            <w:shd w:val="clear" w:color="auto" w:fill="E7E6E6"/>
          </w:tcPr>
          <w:p>
            <w:pPr>
              <w:spacing w:before="0" w:after="0" w:line="264" w:lineRule="auto"/>
            </w:pPr>
            <w:r/>
            <w:r>
              <w:rPr>
                <w:rFonts w:ascii="Times New Roman" w:hAnsi="Times New Roman"/>
                <w:b/>
                <w:i w:val="0"/>
                <w:sz w:val="20"/>
              </w:rPr>
              <w:t>c_index</w:t>
            </w:r>
          </w:p>
        </w:tc>
      </w:tr>
      <w:tr>
        <w:tc>
          <w:tcPr>
            <w:tcW w:type="dxa" w:w="1176"/>
            <w:vAlign w:val="center"/>
          </w:tcPr>
          <w:p>
            <w:pPr>
              <w:spacing w:before="0" w:after="0" w:line="264" w:lineRule="auto"/>
            </w:pPr>
            <w:r/>
            <w:r>
              <w:rPr>
                <w:rFonts w:ascii="Times New Roman" w:hAnsi="Times New Roman"/>
                <w:b w:val="0"/>
                <w:i w:val="0"/>
                <w:sz w:val="20"/>
              </w:rPr>
              <w:t>Deauville_D14_&gt;=4 EFS</w:t>
            </w:r>
          </w:p>
        </w:tc>
        <w:tc>
          <w:tcPr>
            <w:tcW w:type="dxa" w:w="1176"/>
            <w:vAlign w:val="center"/>
          </w:tcPr>
          <w:p>
            <w:pPr>
              <w:spacing w:before="0" w:after="0" w:line="264" w:lineRule="auto"/>
            </w:pPr>
            <w:r/>
            <w:r>
              <w:rPr>
                <w:rFonts w:ascii="Times New Roman" w:hAnsi="Times New Roman"/>
                <w:b w:val="0"/>
                <w:i w:val="0"/>
                <w:sz w:val="20"/>
              </w:rPr>
              <w:t>52</w:t>
            </w:r>
          </w:p>
        </w:tc>
        <w:tc>
          <w:tcPr>
            <w:tcW w:type="dxa" w:w="1176"/>
            <w:vAlign w:val="center"/>
          </w:tcPr>
          <w:p>
            <w:pPr>
              <w:spacing w:before="0" w:after="0" w:line="264" w:lineRule="auto"/>
            </w:pPr>
            <w:r/>
            <w:r>
              <w:rPr>
                <w:rFonts w:ascii="Times New Roman" w:hAnsi="Times New Roman"/>
                <w:b w:val="0"/>
                <w:i w:val="0"/>
                <w:sz w:val="20"/>
              </w:rPr>
              <w:t>32</w:t>
            </w:r>
          </w:p>
        </w:tc>
        <w:tc>
          <w:tcPr>
            <w:tcW w:type="dxa" w:w="1176"/>
            <w:vAlign w:val="center"/>
          </w:tcPr>
          <w:p>
            <w:pPr>
              <w:spacing w:before="0" w:after="0" w:line="264" w:lineRule="auto"/>
            </w:pPr>
            <w:r/>
            <w:r>
              <w:rPr>
                <w:rFonts w:ascii="Times New Roman" w:hAnsi="Times New Roman"/>
                <w:b w:val="0"/>
                <w:i w:val="0"/>
                <w:sz w:val="20"/>
              </w:rPr>
              <w:t>0.85</w:t>
            </w:r>
          </w:p>
        </w:tc>
        <w:tc>
          <w:tcPr>
            <w:tcW w:type="dxa" w:w="1176"/>
            <w:vAlign w:val="center"/>
          </w:tcPr>
          <w:p>
            <w:pPr>
              <w:spacing w:before="0" w:after="0" w:line="264" w:lineRule="auto"/>
            </w:pPr>
            <w:r/>
            <w:r>
              <w:rPr>
                <w:rFonts w:ascii="Times New Roman" w:hAnsi="Times New Roman"/>
                <w:b w:val="0"/>
                <w:i w:val="0"/>
                <w:sz w:val="20"/>
              </w:rPr>
              <w:t>0.39</w:t>
            </w:r>
          </w:p>
        </w:tc>
        <w:tc>
          <w:tcPr>
            <w:tcW w:type="dxa" w:w="1176"/>
            <w:vAlign w:val="center"/>
          </w:tcPr>
          <w:p>
            <w:pPr>
              <w:spacing w:before="0" w:after="0" w:line="264" w:lineRule="auto"/>
            </w:pPr>
            <w:r/>
            <w:r>
              <w:rPr>
                <w:rFonts w:ascii="Times New Roman" w:hAnsi="Times New Roman"/>
                <w:b w:val="0"/>
                <w:i w:val="0"/>
                <w:sz w:val="20"/>
              </w:rPr>
              <w:t>1.84</w:t>
            </w:r>
          </w:p>
        </w:tc>
        <w:tc>
          <w:tcPr>
            <w:tcW w:type="dxa" w:w="1176"/>
            <w:vAlign w:val="center"/>
          </w:tcPr>
          <w:p>
            <w:pPr>
              <w:spacing w:before="0" w:after="0" w:line="264" w:lineRule="auto"/>
            </w:pPr>
            <w:r/>
            <w:r>
              <w:rPr>
                <w:rFonts w:ascii="Times New Roman" w:hAnsi="Times New Roman"/>
                <w:b w:val="0"/>
                <w:i w:val="0"/>
                <w:sz w:val="20"/>
              </w:rPr>
              <w:t>0.68</w:t>
            </w:r>
          </w:p>
        </w:tc>
        <w:tc>
          <w:tcPr>
            <w:tcW w:type="dxa" w:w="1176"/>
            <w:vAlign w:val="center"/>
          </w:tcPr>
          <w:p>
            <w:pPr>
              <w:spacing w:before="0" w:after="0" w:line="264" w:lineRule="auto"/>
            </w:pPr>
            <w:r/>
            <w:r>
              <w:rPr>
                <w:rFonts w:ascii="Times New Roman" w:hAnsi="Times New Roman"/>
                <w:b w:val="0"/>
                <w:i w:val="0"/>
                <w:sz w:val="20"/>
              </w:rPr>
              <w:t>0.506</w:t>
            </w:r>
          </w:p>
        </w:tc>
      </w:tr>
      <w:tr>
        <w:tc>
          <w:tcPr>
            <w:tcW w:type="dxa" w:w="1176"/>
            <w:vAlign w:val="center"/>
          </w:tcPr>
          <w:p>
            <w:pPr>
              <w:spacing w:before="0" w:after="0" w:line="264" w:lineRule="auto"/>
            </w:pPr>
            <w:r/>
            <w:r>
              <w:rPr>
                <w:rFonts w:ascii="Times New Roman" w:hAnsi="Times New Roman"/>
                <w:b w:val="0"/>
                <w:i w:val="0"/>
                <w:sz w:val="20"/>
              </w:rPr>
              <w:t>Deauville_D14_&gt;=4 OS</w:t>
            </w:r>
          </w:p>
        </w:tc>
        <w:tc>
          <w:tcPr>
            <w:tcW w:type="dxa" w:w="1176"/>
            <w:vAlign w:val="center"/>
          </w:tcPr>
          <w:p>
            <w:pPr>
              <w:spacing w:before="0" w:after="0" w:line="264" w:lineRule="auto"/>
            </w:pPr>
            <w:r/>
            <w:r>
              <w:rPr>
                <w:rFonts w:ascii="Times New Roman" w:hAnsi="Times New Roman"/>
                <w:b w:val="0"/>
                <w:i w:val="0"/>
                <w:sz w:val="20"/>
              </w:rPr>
              <w:t>49</w:t>
            </w:r>
          </w:p>
        </w:tc>
        <w:tc>
          <w:tcPr>
            <w:tcW w:type="dxa" w:w="1176"/>
            <w:vAlign w:val="center"/>
          </w:tcPr>
          <w:p>
            <w:pPr>
              <w:spacing w:before="0" w:after="0" w:line="264" w:lineRule="auto"/>
            </w:pPr>
            <w:r/>
            <w:r>
              <w:rPr>
                <w:rFonts w:ascii="Times New Roman" w:hAnsi="Times New Roman"/>
                <w:b w:val="0"/>
                <w:i w:val="0"/>
                <w:sz w:val="20"/>
              </w:rPr>
              <w:t>22</w:t>
            </w:r>
          </w:p>
        </w:tc>
        <w:tc>
          <w:tcPr>
            <w:tcW w:type="dxa" w:w="1176"/>
            <w:vAlign w:val="center"/>
          </w:tcPr>
          <w:p>
            <w:pPr>
              <w:spacing w:before="0" w:after="0" w:line="264" w:lineRule="auto"/>
            </w:pPr>
            <w:r/>
            <w:r>
              <w:rPr>
                <w:rFonts w:ascii="Times New Roman" w:hAnsi="Times New Roman"/>
                <w:b w:val="0"/>
                <w:i w:val="0"/>
                <w:sz w:val="20"/>
              </w:rPr>
              <w:t>0.43</w:t>
            </w:r>
          </w:p>
        </w:tc>
        <w:tc>
          <w:tcPr>
            <w:tcW w:type="dxa" w:w="1176"/>
            <w:vAlign w:val="center"/>
          </w:tcPr>
          <w:p>
            <w:pPr>
              <w:spacing w:before="0" w:after="0" w:line="264" w:lineRule="auto"/>
            </w:pPr>
            <w:r/>
            <w:r>
              <w:rPr>
                <w:rFonts w:ascii="Times New Roman" w:hAnsi="Times New Roman"/>
                <w:b w:val="0"/>
                <w:i w:val="0"/>
                <w:sz w:val="20"/>
              </w:rPr>
              <w:t>0.15</w:t>
            </w:r>
          </w:p>
        </w:tc>
        <w:tc>
          <w:tcPr>
            <w:tcW w:type="dxa" w:w="1176"/>
            <w:vAlign w:val="center"/>
          </w:tcPr>
          <w:p>
            <w:pPr>
              <w:spacing w:before="0" w:after="0" w:line="264" w:lineRule="auto"/>
            </w:pPr>
            <w:r/>
            <w:r>
              <w:rPr>
                <w:rFonts w:ascii="Times New Roman" w:hAnsi="Times New Roman"/>
                <w:b w:val="0"/>
                <w:i w:val="0"/>
                <w:sz w:val="20"/>
              </w:rPr>
              <w:t>1.29</w:t>
            </w:r>
          </w:p>
        </w:tc>
        <w:tc>
          <w:tcPr>
            <w:tcW w:type="dxa" w:w="1176"/>
            <w:vAlign w:val="center"/>
          </w:tcPr>
          <w:p>
            <w:pPr>
              <w:spacing w:before="0" w:after="0" w:line="264" w:lineRule="auto"/>
            </w:pPr>
            <w:r/>
            <w:r>
              <w:rPr>
                <w:rFonts w:ascii="Times New Roman" w:hAnsi="Times New Roman"/>
                <w:b w:val="0"/>
                <w:i w:val="0"/>
                <w:sz w:val="20"/>
              </w:rPr>
              <w:t>0.132</w:t>
            </w:r>
          </w:p>
        </w:tc>
        <w:tc>
          <w:tcPr>
            <w:tcW w:type="dxa" w:w="1176"/>
            <w:vAlign w:val="center"/>
          </w:tcPr>
          <w:p>
            <w:pPr>
              <w:spacing w:before="0" w:after="0" w:line="264" w:lineRule="auto"/>
            </w:pPr>
            <w:r/>
            <w:r>
              <w:rPr>
                <w:rFonts w:ascii="Times New Roman" w:hAnsi="Times New Roman"/>
                <w:b w:val="0"/>
                <w:i w:val="0"/>
                <w:sz w:val="20"/>
              </w:rPr>
              <w:t>0.571</w:t>
            </w:r>
          </w:p>
        </w:tc>
      </w:tr>
      <w:tr>
        <w:tc>
          <w:tcPr>
            <w:tcW w:type="dxa" w:w="1176"/>
            <w:vAlign w:val="center"/>
          </w:tcPr>
          <w:p>
            <w:pPr>
              <w:spacing w:before="0" w:after="0" w:line="264" w:lineRule="auto"/>
            </w:pPr>
            <w:r/>
            <w:r>
              <w:rPr>
                <w:rFonts w:ascii="Times New Roman" w:hAnsi="Times New Roman"/>
                <w:b w:val="0"/>
                <w:i w:val="0"/>
                <w:sz w:val="20"/>
              </w:rPr>
              <w:t>Deauville_M3_&gt;=4 EFS</w:t>
            </w:r>
          </w:p>
        </w:tc>
        <w:tc>
          <w:tcPr>
            <w:tcW w:type="dxa" w:w="1176"/>
            <w:vAlign w:val="center"/>
          </w:tcPr>
          <w:p>
            <w:pPr>
              <w:spacing w:before="0" w:after="0" w:line="264" w:lineRule="auto"/>
            </w:pPr>
            <w:r/>
            <w:r>
              <w:rPr>
                <w:rFonts w:ascii="Times New Roman" w:hAnsi="Times New Roman"/>
                <w:b w:val="0"/>
                <w:i w:val="0"/>
                <w:sz w:val="20"/>
              </w:rPr>
              <w:t>49</w:t>
            </w:r>
          </w:p>
        </w:tc>
        <w:tc>
          <w:tcPr>
            <w:tcW w:type="dxa" w:w="1176"/>
            <w:vAlign w:val="center"/>
          </w:tcPr>
          <w:p>
            <w:pPr>
              <w:spacing w:before="0" w:after="0" w:line="264" w:lineRule="auto"/>
            </w:pPr>
            <w:r/>
            <w:r>
              <w:rPr>
                <w:rFonts w:ascii="Times New Roman" w:hAnsi="Times New Roman"/>
                <w:b w:val="0"/>
                <w:i w:val="0"/>
                <w:sz w:val="20"/>
              </w:rPr>
              <w:t>30</w:t>
            </w:r>
          </w:p>
        </w:tc>
        <w:tc>
          <w:tcPr>
            <w:tcW w:type="dxa" w:w="1176"/>
            <w:vAlign w:val="center"/>
          </w:tcPr>
          <w:p>
            <w:pPr>
              <w:spacing w:before="0" w:after="0" w:line="264" w:lineRule="auto"/>
            </w:pPr>
            <w:r/>
            <w:r>
              <w:rPr>
                <w:rFonts w:ascii="Times New Roman" w:hAnsi="Times New Roman"/>
                <w:b w:val="0"/>
                <w:i w:val="0"/>
                <w:sz w:val="20"/>
              </w:rPr>
              <w:t>2.01</w:t>
            </w:r>
          </w:p>
        </w:tc>
        <w:tc>
          <w:tcPr>
            <w:tcW w:type="dxa" w:w="1176"/>
            <w:vAlign w:val="center"/>
          </w:tcPr>
          <w:p>
            <w:pPr>
              <w:spacing w:before="0" w:after="0" w:line="264" w:lineRule="auto"/>
            </w:pPr>
            <w:r/>
            <w:r>
              <w:rPr>
                <w:rFonts w:ascii="Times New Roman" w:hAnsi="Times New Roman"/>
                <w:b w:val="0"/>
                <w:i w:val="0"/>
                <w:sz w:val="20"/>
              </w:rPr>
              <w:t>0.89</w:t>
            </w:r>
          </w:p>
        </w:tc>
        <w:tc>
          <w:tcPr>
            <w:tcW w:type="dxa" w:w="1176"/>
            <w:vAlign w:val="center"/>
          </w:tcPr>
          <w:p>
            <w:pPr>
              <w:spacing w:before="0" w:after="0" w:line="264" w:lineRule="auto"/>
            </w:pPr>
            <w:r/>
            <w:r>
              <w:rPr>
                <w:rFonts w:ascii="Times New Roman" w:hAnsi="Times New Roman"/>
                <w:b w:val="0"/>
                <w:i w:val="0"/>
                <w:sz w:val="20"/>
              </w:rPr>
              <w:t>4.56</w:t>
            </w:r>
          </w:p>
        </w:tc>
        <w:tc>
          <w:tcPr>
            <w:tcW w:type="dxa" w:w="1176"/>
            <w:vAlign w:val="center"/>
          </w:tcPr>
          <w:p>
            <w:pPr>
              <w:spacing w:before="0" w:after="0" w:line="264" w:lineRule="auto"/>
            </w:pPr>
            <w:r/>
            <w:r>
              <w:rPr>
                <w:rFonts w:ascii="Times New Roman" w:hAnsi="Times New Roman"/>
                <w:b w:val="0"/>
                <w:i w:val="0"/>
                <w:sz w:val="20"/>
              </w:rPr>
              <w:t>0.0932</w:t>
            </w:r>
          </w:p>
        </w:tc>
        <w:tc>
          <w:tcPr>
            <w:tcW w:type="dxa" w:w="1176"/>
            <w:vAlign w:val="center"/>
          </w:tcPr>
          <w:p>
            <w:pPr>
              <w:spacing w:before="0" w:after="0" w:line="264" w:lineRule="auto"/>
            </w:pPr>
            <w:r/>
            <w:r>
              <w:rPr>
                <w:rFonts w:ascii="Times New Roman" w:hAnsi="Times New Roman"/>
                <w:b w:val="0"/>
                <w:i w:val="0"/>
                <w:sz w:val="20"/>
              </w:rPr>
              <w:t>0.563</w:t>
            </w:r>
          </w:p>
        </w:tc>
      </w:tr>
      <w:tr>
        <w:tc>
          <w:tcPr>
            <w:tcW w:type="dxa" w:w="1176"/>
            <w:vAlign w:val="center"/>
          </w:tcPr>
          <w:p>
            <w:pPr>
              <w:spacing w:before="0" w:after="0" w:line="264" w:lineRule="auto"/>
            </w:pPr>
            <w:r/>
            <w:r>
              <w:rPr>
                <w:rFonts w:ascii="Times New Roman" w:hAnsi="Times New Roman"/>
                <w:b w:val="0"/>
                <w:i w:val="0"/>
                <w:sz w:val="20"/>
              </w:rPr>
              <w:t>Deauville_M3_&gt;=4 OS</w:t>
            </w:r>
          </w:p>
        </w:tc>
        <w:tc>
          <w:tcPr>
            <w:tcW w:type="dxa" w:w="1176"/>
            <w:vAlign w:val="center"/>
          </w:tcPr>
          <w:p>
            <w:pPr>
              <w:spacing w:before="0" w:after="0" w:line="264" w:lineRule="auto"/>
            </w:pPr>
            <w:r/>
            <w:r>
              <w:rPr>
                <w:rFonts w:ascii="Times New Roman" w:hAnsi="Times New Roman"/>
                <w:b w:val="0"/>
                <w:i w:val="0"/>
                <w:sz w:val="20"/>
              </w:rPr>
              <w:t>46</w:t>
            </w:r>
          </w:p>
        </w:tc>
        <w:tc>
          <w:tcPr>
            <w:tcW w:type="dxa" w:w="1176"/>
            <w:vAlign w:val="center"/>
          </w:tcPr>
          <w:p>
            <w:pPr>
              <w:spacing w:before="0" w:after="0" w:line="264" w:lineRule="auto"/>
            </w:pPr>
            <w:r/>
            <w:r>
              <w:rPr>
                <w:rFonts w:ascii="Times New Roman" w:hAnsi="Times New Roman"/>
                <w:b w:val="0"/>
                <w:i w:val="0"/>
                <w:sz w:val="20"/>
              </w:rPr>
              <w:t>20</w:t>
            </w:r>
          </w:p>
        </w:tc>
        <w:tc>
          <w:tcPr>
            <w:tcW w:type="dxa" w:w="1176"/>
            <w:vAlign w:val="center"/>
          </w:tcPr>
          <w:p>
            <w:pPr>
              <w:spacing w:before="0" w:after="0" w:line="264" w:lineRule="auto"/>
            </w:pPr>
            <w:r/>
            <w:r>
              <w:rPr>
                <w:rFonts w:ascii="Times New Roman" w:hAnsi="Times New Roman"/>
                <w:b w:val="0"/>
                <w:i w:val="0"/>
                <w:sz w:val="20"/>
              </w:rPr>
              <w:t>0.87</w:t>
            </w:r>
          </w:p>
        </w:tc>
        <w:tc>
          <w:tcPr>
            <w:tcW w:type="dxa" w:w="1176"/>
            <w:vAlign w:val="center"/>
          </w:tcPr>
          <w:p>
            <w:pPr>
              <w:spacing w:before="0" w:after="0" w:line="264" w:lineRule="auto"/>
            </w:pPr>
            <w:r/>
            <w:r>
              <w:rPr>
                <w:rFonts w:ascii="Times New Roman" w:hAnsi="Times New Roman"/>
                <w:b w:val="0"/>
                <w:i w:val="0"/>
                <w:sz w:val="20"/>
              </w:rPr>
              <w:t>0.29</w:t>
            </w:r>
          </w:p>
        </w:tc>
        <w:tc>
          <w:tcPr>
            <w:tcW w:type="dxa" w:w="1176"/>
            <w:vAlign w:val="center"/>
          </w:tcPr>
          <w:p>
            <w:pPr>
              <w:spacing w:before="0" w:after="0" w:line="264" w:lineRule="auto"/>
            </w:pPr>
            <w:r/>
            <w:r>
              <w:rPr>
                <w:rFonts w:ascii="Times New Roman" w:hAnsi="Times New Roman"/>
                <w:b w:val="0"/>
                <w:i w:val="0"/>
                <w:sz w:val="20"/>
              </w:rPr>
              <w:t>2.61</w:t>
            </w:r>
          </w:p>
        </w:tc>
        <w:tc>
          <w:tcPr>
            <w:tcW w:type="dxa" w:w="1176"/>
            <w:vAlign w:val="center"/>
          </w:tcPr>
          <w:p>
            <w:pPr>
              <w:spacing w:before="0" w:after="0" w:line="264" w:lineRule="auto"/>
            </w:pPr>
            <w:r/>
            <w:r>
              <w:rPr>
                <w:rFonts w:ascii="Times New Roman" w:hAnsi="Times New Roman"/>
                <w:b w:val="0"/>
                <w:i w:val="0"/>
                <w:sz w:val="20"/>
              </w:rPr>
              <w:t>0.807</w:t>
            </w:r>
          </w:p>
        </w:tc>
        <w:tc>
          <w:tcPr>
            <w:tcW w:type="dxa" w:w="1176"/>
            <w:vAlign w:val="center"/>
          </w:tcPr>
          <w:p>
            <w:pPr>
              <w:spacing w:before="0" w:after="0" w:line="264" w:lineRule="auto"/>
            </w:pPr>
            <w:r/>
            <w:r>
              <w:rPr>
                <w:rFonts w:ascii="Times New Roman" w:hAnsi="Times New Roman"/>
                <w:b w:val="0"/>
                <w:i w:val="0"/>
                <w:sz w:val="20"/>
              </w:rPr>
              <w:t>0.514</w:t>
            </w:r>
          </w:p>
        </w:tc>
      </w:tr>
      <w:tr>
        <w:tc>
          <w:tcPr>
            <w:tcW w:type="dxa" w:w="1176"/>
            <w:vAlign w:val="center"/>
          </w:tcPr>
          <w:p>
            <w:pPr>
              <w:spacing w:before="0" w:after="0" w:line="264" w:lineRule="auto"/>
            </w:pPr>
            <w:r/>
            <w:r>
              <w:rPr>
                <w:rFonts w:ascii="Times New Roman" w:hAnsi="Times New Roman"/>
                <w:b w:val="0"/>
                <w:i w:val="0"/>
                <w:sz w:val="20"/>
              </w:rPr>
              <w:t>Lugano_D14_non-CMR EFS</w:t>
            </w:r>
          </w:p>
        </w:tc>
        <w:tc>
          <w:tcPr>
            <w:tcW w:type="dxa" w:w="1176"/>
            <w:vAlign w:val="center"/>
          </w:tcPr>
          <w:p>
            <w:pPr>
              <w:spacing w:before="0" w:after="0" w:line="264" w:lineRule="auto"/>
            </w:pPr>
            <w:r/>
            <w:r>
              <w:rPr>
                <w:rFonts w:ascii="Times New Roman" w:hAnsi="Times New Roman"/>
                <w:b w:val="0"/>
                <w:i w:val="0"/>
                <w:sz w:val="20"/>
              </w:rPr>
              <w:t>52</w:t>
            </w:r>
          </w:p>
        </w:tc>
        <w:tc>
          <w:tcPr>
            <w:tcW w:type="dxa" w:w="1176"/>
            <w:vAlign w:val="center"/>
          </w:tcPr>
          <w:p>
            <w:pPr>
              <w:spacing w:before="0" w:after="0" w:line="264" w:lineRule="auto"/>
            </w:pPr>
            <w:r/>
            <w:r>
              <w:rPr>
                <w:rFonts w:ascii="Times New Roman" w:hAnsi="Times New Roman"/>
                <w:b w:val="0"/>
                <w:i w:val="0"/>
                <w:sz w:val="20"/>
              </w:rPr>
              <w:t>32</w:t>
            </w:r>
          </w:p>
        </w:tc>
        <w:tc>
          <w:tcPr>
            <w:tcW w:type="dxa" w:w="1176"/>
            <w:vAlign w:val="center"/>
          </w:tcPr>
          <w:p>
            <w:pPr>
              <w:spacing w:before="0" w:after="0" w:line="264" w:lineRule="auto"/>
            </w:pPr>
            <w:r/>
            <w:r>
              <w:rPr>
                <w:rFonts w:ascii="Times New Roman" w:hAnsi="Times New Roman"/>
                <w:b w:val="0"/>
                <w:i w:val="0"/>
                <w:sz w:val="20"/>
              </w:rPr>
              <w:t>0.85</w:t>
            </w:r>
          </w:p>
        </w:tc>
        <w:tc>
          <w:tcPr>
            <w:tcW w:type="dxa" w:w="1176"/>
            <w:vAlign w:val="center"/>
          </w:tcPr>
          <w:p>
            <w:pPr>
              <w:spacing w:before="0" w:after="0" w:line="264" w:lineRule="auto"/>
            </w:pPr>
            <w:r/>
            <w:r>
              <w:rPr>
                <w:rFonts w:ascii="Times New Roman" w:hAnsi="Times New Roman"/>
                <w:b w:val="0"/>
                <w:i w:val="0"/>
                <w:sz w:val="20"/>
              </w:rPr>
              <w:t>0.39</w:t>
            </w:r>
          </w:p>
        </w:tc>
        <w:tc>
          <w:tcPr>
            <w:tcW w:type="dxa" w:w="1176"/>
            <w:vAlign w:val="center"/>
          </w:tcPr>
          <w:p>
            <w:pPr>
              <w:spacing w:before="0" w:after="0" w:line="264" w:lineRule="auto"/>
            </w:pPr>
            <w:r/>
            <w:r>
              <w:rPr>
                <w:rFonts w:ascii="Times New Roman" w:hAnsi="Times New Roman"/>
                <w:b w:val="0"/>
                <w:i w:val="0"/>
                <w:sz w:val="20"/>
              </w:rPr>
              <w:t>1.84</w:t>
            </w:r>
          </w:p>
        </w:tc>
        <w:tc>
          <w:tcPr>
            <w:tcW w:type="dxa" w:w="1176"/>
            <w:vAlign w:val="center"/>
          </w:tcPr>
          <w:p>
            <w:pPr>
              <w:spacing w:before="0" w:after="0" w:line="264" w:lineRule="auto"/>
            </w:pPr>
            <w:r/>
            <w:r>
              <w:rPr>
                <w:rFonts w:ascii="Times New Roman" w:hAnsi="Times New Roman"/>
                <w:b w:val="0"/>
                <w:i w:val="0"/>
                <w:sz w:val="20"/>
              </w:rPr>
              <w:t>0.68</w:t>
            </w:r>
          </w:p>
        </w:tc>
        <w:tc>
          <w:tcPr>
            <w:tcW w:type="dxa" w:w="1176"/>
            <w:vAlign w:val="center"/>
          </w:tcPr>
          <w:p>
            <w:pPr>
              <w:spacing w:before="0" w:after="0" w:line="264" w:lineRule="auto"/>
            </w:pPr>
            <w:r/>
            <w:r>
              <w:rPr>
                <w:rFonts w:ascii="Times New Roman" w:hAnsi="Times New Roman"/>
                <w:b w:val="0"/>
                <w:i w:val="0"/>
                <w:sz w:val="20"/>
              </w:rPr>
              <w:t>0.506</w:t>
            </w:r>
          </w:p>
        </w:tc>
      </w:tr>
      <w:tr>
        <w:tc>
          <w:tcPr>
            <w:tcW w:type="dxa" w:w="1176"/>
            <w:vAlign w:val="center"/>
          </w:tcPr>
          <w:p>
            <w:pPr>
              <w:spacing w:before="0" w:after="0" w:line="264" w:lineRule="auto"/>
            </w:pPr>
            <w:r/>
            <w:r>
              <w:rPr>
                <w:rFonts w:ascii="Times New Roman" w:hAnsi="Times New Roman"/>
                <w:b w:val="0"/>
                <w:i w:val="0"/>
                <w:sz w:val="20"/>
              </w:rPr>
              <w:t>Lugano_D14_non-CMR OS</w:t>
            </w:r>
          </w:p>
        </w:tc>
        <w:tc>
          <w:tcPr>
            <w:tcW w:type="dxa" w:w="1176"/>
            <w:vAlign w:val="center"/>
          </w:tcPr>
          <w:p>
            <w:pPr>
              <w:spacing w:before="0" w:after="0" w:line="264" w:lineRule="auto"/>
            </w:pPr>
            <w:r/>
            <w:r>
              <w:rPr>
                <w:rFonts w:ascii="Times New Roman" w:hAnsi="Times New Roman"/>
                <w:b w:val="0"/>
                <w:i w:val="0"/>
                <w:sz w:val="20"/>
              </w:rPr>
              <w:t>49</w:t>
            </w:r>
          </w:p>
        </w:tc>
        <w:tc>
          <w:tcPr>
            <w:tcW w:type="dxa" w:w="1176"/>
            <w:vAlign w:val="center"/>
          </w:tcPr>
          <w:p>
            <w:pPr>
              <w:spacing w:before="0" w:after="0" w:line="264" w:lineRule="auto"/>
            </w:pPr>
            <w:r/>
            <w:r>
              <w:rPr>
                <w:rFonts w:ascii="Times New Roman" w:hAnsi="Times New Roman"/>
                <w:b w:val="0"/>
                <w:i w:val="0"/>
                <w:sz w:val="20"/>
              </w:rPr>
              <w:t>22</w:t>
            </w:r>
          </w:p>
        </w:tc>
        <w:tc>
          <w:tcPr>
            <w:tcW w:type="dxa" w:w="1176"/>
            <w:vAlign w:val="center"/>
          </w:tcPr>
          <w:p>
            <w:pPr>
              <w:spacing w:before="0" w:after="0" w:line="264" w:lineRule="auto"/>
            </w:pPr>
            <w:r/>
            <w:r>
              <w:rPr>
                <w:rFonts w:ascii="Times New Roman" w:hAnsi="Times New Roman"/>
                <w:b w:val="0"/>
                <w:i w:val="0"/>
                <w:sz w:val="20"/>
              </w:rPr>
              <w:t>0.43</w:t>
            </w:r>
          </w:p>
        </w:tc>
        <w:tc>
          <w:tcPr>
            <w:tcW w:type="dxa" w:w="1176"/>
            <w:vAlign w:val="center"/>
          </w:tcPr>
          <w:p>
            <w:pPr>
              <w:spacing w:before="0" w:after="0" w:line="264" w:lineRule="auto"/>
            </w:pPr>
            <w:r/>
            <w:r>
              <w:rPr>
                <w:rFonts w:ascii="Times New Roman" w:hAnsi="Times New Roman"/>
                <w:b w:val="0"/>
                <w:i w:val="0"/>
                <w:sz w:val="20"/>
              </w:rPr>
              <w:t>0.15</w:t>
            </w:r>
          </w:p>
        </w:tc>
        <w:tc>
          <w:tcPr>
            <w:tcW w:type="dxa" w:w="1176"/>
            <w:vAlign w:val="center"/>
          </w:tcPr>
          <w:p>
            <w:pPr>
              <w:spacing w:before="0" w:after="0" w:line="264" w:lineRule="auto"/>
            </w:pPr>
            <w:r/>
            <w:r>
              <w:rPr>
                <w:rFonts w:ascii="Times New Roman" w:hAnsi="Times New Roman"/>
                <w:b w:val="0"/>
                <w:i w:val="0"/>
                <w:sz w:val="20"/>
              </w:rPr>
              <w:t>1.29</w:t>
            </w:r>
          </w:p>
        </w:tc>
        <w:tc>
          <w:tcPr>
            <w:tcW w:type="dxa" w:w="1176"/>
            <w:vAlign w:val="center"/>
          </w:tcPr>
          <w:p>
            <w:pPr>
              <w:spacing w:before="0" w:after="0" w:line="264" w:lineRule="auto"/>
            </w:pPr>
            <w:r/>
            <w:r>
              <w:rPr>
                <w:rFonts w:ascii="Times New Roman" w:hAnsi="Times New Roman"/>
                <w:b w:val="0"/>
                <w:i w:val="0"/>
                <w:sz w:val="20"/>
              </w:rPr>
              <w:t>0.132</w:t>
            </w:r>
          </w:p>
        </w:tc>
        <w:tc>
          <w:tcPr>
            <w:tcW w:type="dxa" w:w="1176"/>
            <w:vAlign w:val="center"/>
          </w:tcPr>
          <w:p>
            <w:pPr>
              <w:spacing w:before="0" w:after="0" w:line="264" w:lineRule="auto"/>
            </w:pPr>
            <w:r/>
            <w:r>
              <w:rPr>
                <w:rFonts w:ascii="Times New Roman" w:hAnsi="Times New Roman"/>
                <w:b w:val="0"/>
                <w:i w:val="0"/>
                <w:sz w:val="20"/>
              </w:rPr>
              <w:t>0.571</w:t>
            </w:r>
          </w:p>
        </w:tc>
      </w:tr>
      <w:tr>
        <w:tc>
          <w:tcPr>
            <w:tcW w:type="dxa" w:w="1176"/>
            <w:vAlign w:val="center"/>
          </w:tcPr>
          <w:p>
            <w:pPr>
              <w:spacing w:before="0" w:after="0" w:line="264" w:lineRule="auto"/>
            </w:pPr>
            <w:r/>
            <w:r>
              <w:rPr>
                <w:rFonts w:ascii="Times New Roman" w:hAnsi="Times New Roman"/>
                <w:b w:val="0"/>
                <w:i w:val="0"/>
                <w:sz w:val="20"/>
              </w:rPr>
              <w:t>Lugano_M3_non-CMR EFS</w:t>
            </w:r>
          </w:p>
        </w:tc>
        <w:tc>
          <w:tcPr>
            <w:tcW w:type="dxa" w:w="1176"/>
            <w:vAlign w:val="center"/>
          </w:tcPr>
          <w:p>
            <w:pPr>
              <w:spacing w:before="0" w:after="0" w:line="264" w:lineRule="auto"/>
            </w:pPr>
            <w:r/>
            <w:r>
              <w:rPr>
                <w:rFonts w:ascii="Times New Roman" w:hAnsi="Times New Roman"/>
                <w:b w:val="0"/>
                <w:i w:val="0"/>
                <w:sz w:val="20"/>
              </w:rPr>
              <w:t>49</w:t>
            </w:r>
          </w:p>
        </w:tc>
        <w:tc>
          <w:tcPr>
            <w:tcW w:type="dxa" w:w="1176"/>
            <w:vAlign w:val="center"/>
          </w:tcPr>
          <w:p>
            <w:pPr>
              <w:spacing w:before="0" w:after="0" w:line="264" w:lineRule="auto"/>
            </w:pPr>
            <w:r/>
            <w:r>
              <w:rPr>
                <w:rFonts w:ascii="Times New Roman" w:hAnsi="Times New Roman"/>
                <w:b w:val="0"/>
                <w:i w:val="0"/>
                <w:sz w:val="20"/>
              </w:rPr>
              <w:t>30</w:t>
            </w:r>
          </w:p>
        </w:tc>
        <w:tc>
          <w:tcPr>
            <w:tcW w:type="dxa" w:w="1176"/>
            <w:vAlign w:val="center"/>
          </w:tcPr>
          <w:p>
            <w:pPr>
              <w:spacing w:before="0" w:after="0" w:line="264" w:lineRule="auto"/>
            </w:pPr>
            <w:r/>
            <w:r>
              <w:rPr>
                <w:rFonts w:ascii="Times New Roman" w:hAnsi="Times New Roman"/>
                <w:b w:val="0"/>
                <w:i w:val="0"/>
                <w:sz w:val="20"/>
              </w:rPr>
              <w:t>2.01</w:t>
            </w:r>
          </w:p>
        </w:tc>
        <w:tc>
          <w:tcPr>
            <w:tcW w:type="dxa" w:w="1176"/>
            <w:vAlign w:val="center"/>
          </w:tcPr>
          <w:p>
            <w:pPr>
              <w:spacing w:before="0" w:after="0" w:line="264" w:lineRule="auto"/>
            </w:pPr>
            <w:r/>
            <w:r>
              <w:rPr>
                <w:rFonts w:ascii="Times New Roman" w:hAnsi="Times New Roman"/>
                <w:b w:val="0"/>
                <w:i w:val="0"/>
                <w:sz w:val="20"/>
              </w:rPr>
              <w:t>0.89</w:t>
            </w:r>
          </w:p>
        </w:tc>
        <w:tc>
          <w:tcPr>
            <w:tcW w:type="dxa" w:w="1176"/>
            <w:vAlign w:val="center"/>
          </w:tcPr>
          <w:p>
            <w:pPr>
              <w:spacing w:before="0" w:after="0" w:line="264" w:lineRule="auto"/>
            </w:pPr>
            <w:r/>
            <w:r>
              <w:rPr>
                <w:rFonts w:ascii="Times New Roman" w:hAnsi="Times New Roman"/>
                <w:b w:val="0"/>
                <w:i w:val="0"/>
                <w:sz w:val="20"/>
              </w:rPr>
              <w:t>4.56</w:t>
            </w:r>
          </w:p>
        </w:tc>
        <w:tc>
          <w:tcPr>
            <w:tcW w:type="dxa" w:w="1176"/>
            <w:vAlign w:val="center"/>
          </w:tcPr>
          <w:p>
            <w:pPr>
              <w:spacing w:before="0" w:after="0" w:line="264" w:lineRule="auto"/>
            </w:pPr>
            <w:r/>
            <w:r>
              <w:rPr>
                <w:rFonts w:ascii="Times New Roman" w:hAnsi="Times New Roman"/>
                <w:b w:val="0"/>
                <w:i w:val="0"/>
                <w:sz w:val="20"/>
              </w:rPr>
              <w:t>0.0932</w:t>
            </w:r>
          </w:p>
        </w:tc>
        <w:tc>
          <w:tcPr>
            <w:tcW w:type="dxa" w:w="1176"/>
            <w:vAlign w:val="center"/>
          </w:tcPr>
          <w:p>
            <w:pPr>
              <w:spacing w:before="0" w:after="0" w:line="264" w:lineRule="auto"/>
            </w:pPr>
            <w:r/>
            <w:r>
              <w:rPr>
                <w:rFonts w:ascii="Times New Roman" w:hAnsi="Times New Roman"/>
                <w:b w:val="0"/>
                <w:i w:val="0"/>
                <w:sz w:val="20"/>
              </w:rPr>
              <w:t>0.563</w:t>
            </w:r>
          </w:p>
        </w:tc>
      </w:tr>
      <w:tr>
        <w:tc>
          <w:tcPr>
            <w:tcW w:type="dxa" w:w="1176"/>
            <w:vAlign w:val="center"/>
          </w:tcPr>
          <w:p>
            <w:pPr>
              <w:spacing w:before="0" w:after="0" w:line="264" w:lineRule="auto"/>
            </w:pPr>
            <w:r/>
            <w:r>
              <w:rPr>
                <w:rFonts w:ascii="Times New Roman" w:hAnsi="Times New Roman"/>
                <w:b w:val="0"/>
                <w:i w:val="0"/>
                <w:sz w:val="20"/>
              </w:rPr>
              <w:t>Lugano_M3_non-CMR OS</w:t>
            </w:r>
          </w:p>
        </w:tc>
        <w:tc>
          <w:tcPr>
            <w:tcW w:type="dxa" w:w="1176"/>
            <w:vAlign w:val="center"/>
          </w:tcPr>
          <w:p>
            <w:pPr>
              <w:spacing w:before="0" w:after="0" w:line="264" w:lineRule="auto"/>
            </w:pPr>
            <w:r/>
            <w:r>
              <w:rPr>
                <w:rFonts w:ascii="Times New Roman" w:hAnsi="Times New Roman"/>
                <w:b w:val="0"/>
                <w:i w:val="0"/>
                <w:sz w:val="20"/>
              </w:rPr>
              <w:t>46</w:t>
            </w:r>
          </w:p>
        </w:tc>
        <w:tc>
          <w:tcPr>
            <w:tcW w:type="dxa" w:w="1176"/>
            <w:vAlign w:val="center"/>
          </w:tcPr>
          <w:p>
            <w:pPr>
              <w:spacing w:before="0" w:after="0" w:line="264" w:lineRule="auto"/>
            </w:pPr>
            <w:r/>
            <w:r>
              <w:rPr>
                <w:rFonts w:ascii="Times New Roman" w:hAnsi="Times New Roman"/>
                <w:b w:val="0"/>
                <w:i w:val="0"/>
                <w:sz w:val="20"/>
              </w:rPr>
              <w:t>20</w:t>
            </w:r>
          </w:p>
        </w:tc>
        <w:tc>
          <w:tcPr>
            <w:tcW w:type="dxa" w:w="1176"/>
            <w:vAlign w:val="center"/>
          </w:tcPr>
          <w:p>
            <w:pPr>
              <w:spacing w:before="0" w:after="0" w:line="264" w:lineRule="auto"/>
            </w:pPr>
            <w:r/>
            <w:r>
              <w:rPr>
                <w:rFonts w:ascii="Times New Roman" w:hAnsi="Times New Roman"/>
                <w:b w:val="0"/>
                <w:i w:val="0"/>
                <w:sz w:val="20"/>
              </w:rPr>
              <w:t>0.87</w:t>
            </w:r>
          </w:p>
        </w:tc>
        <w:tc>
          <w:tcPr>
            <w:tcW w:type="dxa" w:w="1176"/>
            <w:vAlign w:val="center"/>
          </w:tcPr>
          <w:p>
            <w:pPr>
              <w:spacing w:before="0" w:after="0" w:line="264" w:lineRule="auto"/>
            </w:pPr>
            <w:r/>
            <w:r>
              <w:rPr>
                <w:rFonts w:ascii="Times New Roman" w:hAnsi="Times New Roman"/>
                <w:b w:val="0"/>
                <w:i w:val="0"/>
                <w:sz w:val="20"/>
              </w:rPr>
              <w:t>0.29</w:t>
            </w:r>
          </w:p>
        </w:tc>
        <w:tc>
          <w:tcPr>
            <w:tcW w:type="dxa" w:w="1176"/>
            <w:vAlign w:val="center"/>
          </w:tcPr>
          <w:p>
            <w:pPr>
              <w:spacing w:before="0" w:after="0" w:line="264" w:lineRule="auto"/>
            </w:pPr>
            <w:r/>
            <w:r>
              <w:rPr>
                <w:rFonts w:ascii="Times New Roman" w:hAnsi="Times New Roman"/>
                <w:b w:val="0"/>
                <w:i w:val="0"/>
                <w:sz w:val="20"/>
              </w:rPr>
              <w:t>2.61</w:t>
            </w:r>
          </w:p>
        </w:tc>
        <w:tc>
          <w:tcPr>
            <w:tcW w:type="dxa" w:w="1176"/>
            <w:vAlign w:val="center"/>
          </w:tcPr>
          <w:p>
            <w:pPr>
              <w:spacing w:before="0" w:after="0" w:line="264" w:lineRule="auto"/>
            </w:pPr>
            <w:r/>
            <w:r>
              <w:rPr>
                <w:rFonts w:ascii="Times New Roman" w:hAnsi="Times New Roman"/>
                <w:b w:val="0"/>
                <w:i w:val="0"/>
                <w:sz w:val="20"/>
              </w:rPr>
              <w:t>0.807</w:t>
            </w:r>
          </w:p>
        </w:tc>
        <w:tc>
          <w:tcPr>
            <w:tcW w:type="dxa" w:w="1176"/>
            <w:vAlign w:val="center"/>
          </w:tcPr>
          <w:p>
            <w:pPr>
              <w:spacing w:before="0" w:after="0" w:line="264" w:lineRule="auto"/>
            </w:pPr>
            <w:r/>
            <w:r>
              <w:rPr>
                <w:rFonts w:ascii="Times New Roman" w:hAnsi="Times New Roman"/>
                <w:b w:val="0"/>
                <w:i w:val="0"/>
                <w:sz w:val="20"/>
              </w:rPr>
              <w:t>0.514</w:t>
            </w:r>
          </w:p>
        </w:tc>
      </w:tr>
      <w:tr>
        <w:tc>
          <w:tcPr>
            <w:tcW w:type="dxa" w:w="1176"/>
            <w:vAlign w:val="center"/>
          </w:tcPr>
          <w:p>
            <w:pPr>
              <w:spacing w:before="0" w:after="0" w:line="264" w:lineRule="auto"/>
            </w:pPr>
            <w:r/>
            <w:r>
              <w:rPr>
                <w:rFonts w:ascii="Times New Roman" w:hAnsi="Times New Roman"/>
                <w:b w:val="0"/>
                <w:i w:val="0"/>
                <w:sz w:val="20"/>
              </w:rPr>
              <w:t>JLCM-Deauville (high vs low) EFS</w:t>
            </w:r>
          </w:p>
        </w:tc>
        <w:tc>
          <w:tcPr>
            <w:tcW w:type="dxa" w:w="1176"/>
            <w:vAlign w:val="center"/>
          </w:tcPr>
          <w:p>
            <w:pPr>
              <w:spacing w:before="0" w:after="0" w:line="264" w:lineRule="auto"/>
            </w:pPr>
            <w:r/>
            <w:r>
              <w:rPr>
                <w:rFonts w:ascii="Times New Roman" w:hAnsi="Times New Roman"/>
                <w:b w:val="0"/>
                <w:i w:val="0"/>
                <w:sz w:val="20"/>
              </w:rPr>
              <w:t>55</w:t>
            </w:r>
          </w:p>
        </w:tc>
        <w:tc>
          <w:tcPr>
            <w:tcW w:type="dxa" w:w="1176"/>
            <w:vAlign w:val="center"/>
          </w:tcPr>
          <w:p>
            <w:pPr>
              <w:spacing w:before="0" w:after="0" w:line="264" w:lineRule="auto"/>
            </w:pPr>
            <w:r/>
            <w:r>
              <w:rPr>
                <w:rFonts w:ascii="Times New Roman" w:hAnsi="Times New Roman"/>
                <w:b w:val="0"/>
                <w:i w:val="0"/>
                <w:sz w:val="20"/>
              </w:rPr>
              <w:t>34</w:t>
            </w:r>
          </w:p>
        </w:tc>
        <w:tc>
          <w:tcPr>
            <w:tcW w:type="dxa" w:w="1176"/>
            <w:vAlign w:val="center"/>
          </w:tcPr>
          <w:p>
            <w:pPr>
              <w:spacing w:before="0" w:after="0" w:line="264" w:lineRule="auto"/>
            </w:pPr>
            <w:r/>
            <w:r>
              <w:rPr>
                <w:rFonts w:ascii="Times New Roman" w:hAnsi="Times New Roman"/>
                <w:b w:val="0"/>
                <w:i w:val="0"/>
                <w:sz w:val="20"/>
              </w:rPr>
              <w:t>1.83</w:t>
            </w:r>
          </w:p>
        </w:tc>
        <w:tc>
          <w:tcPr>
            <w:tcW w:type="dxa" w:w="1176"/>
            <w:vAlign w:val="center"/>
          </w:tcPr>
          <w:p>
            <w:pPr>
              <w:spacing w:before="0" w:after="0" w:line="264" w:lineRule="auto"/>
            </w:pPr>
            <w:r/>
            <w:r>
              <w:rPr>
                <w:rFonts w:ascii="Times New Roman" w:hAnsi="Times New Roman"/>
                <w:b w:val="0"/>
                <w:i w:val="0"/>
                <w:sz w:val="20"/>
              </w:rPr>
              <w:t>0.88</w:t>
            </w:r>
          </w:p>
        </w:tc>
        <w:tc>
          <w:tcPr>
            <w:tcW w:type="dxa" w:w="1176"/>
            <w:vAlign w:val="center"/>
          </w:tcPr>
          <w:p>
            <w:pPr>
              <w:spacing w:before="0" w:after="0" w:line="264" w:lineRule="auto"/>
            </w:pPr>
            <w:r/>
            <w:r>
              <w:rPr>
                <w:rFonts w:ascii="Times New Roman" w:hAnsi="Times New Roman"/>
                <w:b w:val="0"/>
                <w:i w:val="0"/>
                <w:sz w:val="20"/>
              </w:rPr>
              <w:t>3.79</w:t>
            </w:r>
          </w:p>
        </w:tc>
        <w:tc>
          <w:tcPr>
            <w:tcW w:type="dxa" w:w="1176"/>
            <w:vAlign w:val="center"/>
          </w:tcPr>
          <w:p>
            <w:pPr>
              <w:spacing w:before="0" w:after="0" w:line="264" w:lineRule="auto"/>
            </w:pPr>
            <w:r/>
            <w:r>
              <w:rPr>
                <w:rFonts w:ascii="Times New Roman" w:hAnsi="Times New Roman"/>
                <w:b w:val="0"/>
                <w:i w:val="0"/>
                <w:sz w:val="20"/>
              </w:rPr>
              <w:t>0.104</w:t>
            </w:r>
          </w:p>
        </w:tc>
        <w:tc>
          <w:tcPr>
            <w:tcW w:type="dxa" w:w="1176"/>
            <w:vAlign w:val="center"/>
          </w:tcPr>
          <w:p>
            <w:pPr>
              <w:spacing w:before="0" w:after="0" w:line="264" w:lineRule="auto"/>
            </w:pPr>
            <w:r/>
            <w:r>
              <w:rPr>
                <w:rFonts w:ascii="Times New Roman" w:hAnsi="Times New Roman"/>
                <w:b w:val="0"/>
                <w:i w:val="0"/>
                <w:sz w:val="20"/>
              </w:rPr>
              <w:t>0.557</w:t>
            </w:r>
          </w:p>
        </w:tc>
      </w:tr>
      <w:tr>
        <w:tc>
          <w:tcPr>
            <w:tcW w:type="dxa" w:w="1176"/>
            <w:vAlign w:val="center"/>
          </w:tcPr>
          <w:p>
            <w:pPr>
              <w:spacing w:before="0" w:after="0" w:line="264" w:lineRule="auto"/>
            </w:pPr>
            <w:r/>
            <w:r>
              <w:rPr>
                <w:rFonts w:ascii="Times New Roman" w:hAnsi="Times New Roman"/>
                <w:b w:val="0"/>
                <w:i w:val="0"/>
                <w:sz w:val="20"/>
              </w:rPr>
              <w:t>JLCM-Deauville (high vs low) OS</w:t>
            </w:r>
          </w:p>
        </w:tc>
        <w:tc>
          <w:tcPr>
            <w:tcW w:type="dxa" w:w="1176"/>
            <w:vAlign w:val="center"/>
          </w:tcPr>
          <w:p>
            <w:pPr>
              <w:spacing w:before="0" w:after="0" w:line="264" w:lineRule="auto"/>
            </w:pPr>
            <w:r/>
            <w:r>
              <w:rPr>
                <w:rFonts w:ascii="Times New Roman" w:hAnsi="Times New Roman"/>
                <w:b w:val="0"/>
                <w:i w:val="0"/>
                <w:sz w:val="20"/>
              </w:rPr>
              <w:t>52</w:t>
            </w:r>
          </w:p>
        </w:tc>
        <w:tc>
          <w:tcPr>
            <w:tcW w:type="dxa" w:w="1176"/>
            <w:vAlign w:val="center"/>
          </w:tcPr>
          <w:p>
            <w:pPr>
              <w:spacing w:before="0" w:after="0" w:line="264" w:lineRule="auto"/>
            </w:pPr>
            <w:r/>
            <w:r>
              <w:rPr>
                <w:rFonts w:ascii="Times New Roman" w:hAnsi="Times New Roman"/>
                <w:b w:val="0"/>
                <w:i w:val="0"/>
                <w:sz w:val="20"/>
              </w:rPr>
              <w:t>23</w:t>
            </w:r>
          </w:p>
        </w:tc>
        <w:tc>
          <w:tcPr>
            <w:tcW w:type="dxa" w:w="1176"/>
            <w:vAlign w:val="center"/>
          </w:tcPr>
          <w:p>
            <w:pPr>
              <w:spacing w:before="0" w:after="0" w:line="264" w:lineRule="auto"/>
            </w:pPr>
            <w:r/>
            <w:r>
              <w:rPr>
                <w:rFonts w:ascii="Times New Roman" w:hAnsi="Times New Roman"/>
                <w:b w:val="0"/>
                <w:i w:val="0"/>
                <w:sz w:val="20"/>
              </w:rPr>
              <w:t>0.81</w:t>
            </w:r>
          </w:p>
        </w:tc>
        <w:tc>
          <w:tcPr>
            <w:tcW w:type="dxa" w:w="1176"/>
            <w:vAlign w:val="center"/>
          </w:tcPr>
          <w:p>
            <w:pPr>
              <w:spacing w:before="0" w:after="0" w:line="264" w:lineRule="auto"/>
            </w:pPr>
            <w:r/>
            <w:r>
              <w:rPr>
                <w:rFonts w:ascii="Times New Roman" w:hAnsi="Times New Roman"/>
                <w:b w:val="0"/>
                <w:i w:val="0"/>
                <w:sz w:val="20"/>
              </w:rPr>
              <w:t>0.3</w:t>
            </w:r>
          </w:p>
        </w:tc>
        <w:tc>
          <w:tcPr>
            <w:tcW w:type="dxa" w:w="1176"/>
            <w:vAlign w:val="center"/>
          </w:tcPr>
          <w:p>
            <w:pPr>
              <w:spacing w:before="0" w:after="0" w:line="264" w:lineRule="auto"/>
            </w:pPr>
            <w:r/>
            <w:r>
              <w:rPr>
                <w:rFonts w:ascii="Times New Roman" w:hAnsi="Times New Roman"/>
                <w:b w:val="0"/>
                <w:i w:val="0"/>
                <w:sz w:val="20"/>
              </w:rPr>
              <w:t>2.18</w:t>
            </w:r>
          </w:p>
        </w:tc>
        <w:tc>
          <w:tcPr>
            <w:tcW w:type="dxa" w:w="1176"/>
            <w:vAlign w:val="center"/>
          </w:tcPr>
          <w:p>
            <w:pPr>
              <w:spacing w:before="0" w:after="0" w:line="264" w:lineRule="auto"/>
            </w:pPr>
            <w:r/>
            <w:r>
              <w:rPr>
                <w:rFonts w:ascii="Times New Roman" w:hAnsi="Times New Roman"/>
                <w:b w:val="0"/>
                <w:i w:val="0"/>
                <w:sz w:val="20"/>
              </w:rPr>
              <w:t>0.674</w:t>
            </w:r>
          </w:p>
        </w:tc>
        <w:tc>
          <w:tcPr>
            <w:tcW w:type="dxa" w:w="1176"/>
            <w:vAlign w:val="center"/>
          </w:tcPr>
          <w:p>
            <w:pPr>
              <w:spacing w:before="0" w:after="0" w:line="264" w:lineRule="auto"/>
            </w:pPr>
            <w:r/>
            <w:r>
              <w:rPr>
                <w:rFonts w:ascii="Times New Roman" w:hAnsi="Times New Roman"/>
                <w:b w:val="0"/>
                <w:i w:val="0"/>
                <w:sz w:val="20"/>
              </w:rPr>
              <w:t>0.518</w:t>
            </w:r>
          </w:p>
        </w:tc>
      </w:tr>
      <w:tr>
        <w:tc>
          <w:tcPr>
            <w:tcW w:type="dxa" w:w="1176"/>
            <w:vAlign w:val="center"/>
          </w:tcPr>
          <w:p>
            <w:pPr>
              <w:spacing w:before="0" w:after="0" w:line="264" w:lineRule="auto"/>
            </w:pPr>
            <w:r/>
            <w:r>
              <w:rPr>
                <w:rFonts w:ascii="Times New Roman" w:hAnsi="Times New Roman"/>
                <w:b w:val="0"/>
                <w:i w:val="0"/>
                <w:sz w:val="20"/>
              </w:rPr>
              <w:t>JLCM-ctDNA (high vs low) EFS [reference]</w:t>
            </w:r>
          </w:p>
        </w:tc>
        <w:tc>
          <w:tcPr>
            <w:tcW w:type="dxa" w:w="1176"/>
            <w:vAlign w:val="center"/>
          </w:tcPr>
          <w:p>
            <w:pPr>
              <w:spacing w:before="0" w:after="0" w:line="264" w:lineRule="auto"/>
            </w:pPr>
            <w:r/>
            <w:r>
              <w:rPr>
                <w:rFonts w:ascii="Times New Roman" w:hAnsi="Times New Roman"/>
                <w:b w:val="0"/>
                <w:i w:val="0"/>
                <w:sz w:val="20"/>
              </w:rPr>
              <w:t>44</w:t>
            </w:r>
          </w:p>
        </w:tc>
        <w:tc>
          <w:tcPr>
            <w:tcW w:type="dxa" w:w="1176"/>
            <w:vAlign w:val="center"/>
          </w:tcPr>
          <w:p>
            <w:pPr>
              <w:spacing w:before="0" w:after="0" w:line="264" w:lineRule="auto"/>
            </w:pPr>
            <w:r/>
            <w:r>
              <w:rPr>
                <w:rFonts w:ascii="Times New Roman" w:hAnsi="Times New Roman"/>
                <w:b w:val="0"/>
                <w:i w:val="0"/>
                <w:sz w:val="20"/>
              </w:rPr>
              <w:t>25</w:t>
            </w:r>
          </w:p>
        </w:tc>
        <w:tc>
          <w:tcPr>
            <w:tcW w:type="dxa" w:w="1176"/>
            <w:vAlign w:val="center"/>
          </w:tcPr>
          <w:p>
            <w:pPr>
              <w:spacing w:before="0" w:after="0" w:line="264" w:lineRule="auto"/>
            </w:pPr>
            <w:r/>
            <w:r>
              <w:rPr>
                <w:rFonts w:ascii="Times New Roman" w:hAnsi="Times New Roman"/>
                <w:b w:val="0"/>
                <w:i w:val="0"/>
                <w:sz w:val="20"/>
              </w:rPr>
              <w:t>3031361834.86</w:t>
            </w:r>
          </w:p>
        </w:tc>
        <w:tc>
          <w:tcPr>
            <w:tcW w:type="dxa" w:w="1176"/>
            <w:vAlign w:val="center"/>
          </w:tcPr>
          <w:p>
            <w:pPr>
              <w:spacing w:before="0" w:after="0" w:line="264" w:lineRule="auto"/>
            </w:pPr>
            <w:r/>
            <w:r>
              <w:rPr>
                <w:rFonts w:ascii="Times New Roman" w:hAnsi="Times New Roman"/>
                <w:b w:val="0"/>
                <w:i w:val="0"/>
                <w:sz w:val="20"/>
              </w:rPr>
              <w:t>0.0</w:t>
            </w:r>
          </w:p>
        </w:tc>
        <w:tc>
          <w:tcPr>
            <w:tcW w:type="dxa" w:w="1176"/>
            <w:vAlign w:val="center"/>
          </w:tcPr>
          <w:p>
            <w:pPr>
              <w:spacing w:before="0" w:after="0" w:line="264" w:lineRule="auto"/>
            </w:pPr>
            <w:r/>
            <w:r>
              <w:rPr>
                <w:rFonts w:ascii="Times New Roman" w:hAnsi="Times New Roman"/>
                <w:b w:val="0"/>
                <w:i w:val="0"/>
                <w:sz w:val="20"/>
              </w:rPr>
              <w:t>inf</w:t>
            </w:r>
          </w:p>
        </w:tc>
        <w:tc>
          <w:tcPr>
            <w:tcW w:type="dxa" w:w="1176"/>
            <w:vAlign w:val="center"/>
          </w:tcPr>
          <w:p>
            <w:pPr>
              <w:spacing w:before="0" w:after="0" w:line="264" w:lineRule="auto"/>
            </w:pPr>
            <w:r/>
            <w:r>
              <w:rPr>
                <w:rFonts w:ascii="Times New Roman" w:hAnsi="Times New Roman"/>
                <w:b w:val="0"/>
                <w:i w:val="0"/>
                <w:sz w:val="20"/>
              </w:rPr>
              <w:t>0.997</w:t>
            </w:r>
          </w:p>
        </w:tc>
        <w:tc>
          <w:tcPr>
            <w:tcW w:type="dxa" w:w="1176"/>
            <w:vAlign w:val="center"/>
          </w:tcPr>
          <w:p>
            <w:pPr>
              <w:spacing w:before="0" w:after="0" w:line="264" w:lineRule="auto"/>
            </w:pPr>
            <w:r/>
            <w:r>
              <w:rPr>
                <w:rFonts w:ascii="Times New Roman" w:hAnsi="Times New Roman"/>
                <w:b w:val="0"/>
                <w:i w:val="0"/>
                <w:sz w:val="20"/>
              </w:rPr>
              <w:t>0.808</w:t>
            </w:r>
          </w:p>
        </w:tc>
      </w:tr>
      <w:tr>
        <w:tc>
          <w:tcPr>
            <w:tcW w:type="dxa" w:w="1176"/>
            <w:vAlign w:val="center"/>
          </w:tcPr>
          <w:p>
            <w:pPr>
              <w:spacing w:before="0" w:after="0" w:line="264" w:lineRule="auto"/>
            </w:pPr>
            <w:r/>
            <w:r>
              <w:rPr>
                <w:rFonts w:ascii="Times New Roman" w:hAnsi="Times New Roman"/>
                <w:b w:val="0"/>
                <w:i w:val="0"/>
                <w:sz w:val="20"/>
              </w:rPr>
              <w:t>JLCM-ctDNA (high vs low) OS [reference]</w:t>
            </w:r>
          </w:p>
        </w:tc>
        <w:tc>
          <w:tcPr>
            <w:tcW w:type="dxa" w:w="1176"/>
            <w:vAlign w:val="center"/>
          </w:tcPr>
          <w:p>
            <w:pPr>
              <w:spacing w:before="0" w:after="0" w:line="264" w:lineRule="auto"/>
            </w:pPr>
            <w:r/>
            <w:r>
              <w:rPr>
                <w:rFonts w:ascii="Times New Roman" w:hAnsi="Times New Roman"/>
                <w:b w:val="0"/>
                <w:i w:val="0"/>
                <w:sz w:val="20"/>
              </w:rPr>
              <w:t>41</w:t>
            </w:r>
          </w:p>
        </w:tc>
        <w:tc>
          <w:tcPr>
            <w:tcW w:type="dxa" w:w="1176"/>
            <w:vAlign w:val="center"/>
          </w:tcPr>
          <w:p>
            <w:pPr>
              <w:spacing w:before="0" w:after="0" w:line="264" w:lineRule="auto"/>
            </w:pPr>
            <w:r/>
            <w:r>
              <w:rPr>
                <w:rFonts w:ascii="Times New Roman" w:hAnsi="Times New Roman"/>
                <w:b w:val="0"/>
                <w:i w:val="0"/>
                <w:sz w:val="20"/>
              </w:rPr>
              <w:t>17</w:t>
            </w:r>
          </w:p>
        </w:tc>
        <w:tc>
          <w:tcPr>
            <w:tcW w:type="dxa" w:w="1176"/>
            <w:vAlign w:val="center"/>
          </w:tcPr>
          <w:p>
            <w:pPr>
              <w:spacing w:before="0" w:after="0" w:line="264" w:lineRule="auto"/>
            </w:pPr>
            <w:r/>
            <w:r>
              <w:rPr>
                <w:rFonts w:ascii="Times New Roman" w:hAnsi="Times New Roman"/>
                <w:b w:val="0"/>
                <w:i w:val="0"/>
                <w:sz w:val="20"/>
              </w:rPr>
              <w:t>28.82</w:t>
            </w:r>
          </w:p>
        </w:tc>
        <w:tc>
          <w:tcPr>
            <w:tcW w:type="dxa" w:w="1176"/>
            <w:vAlign w:val="center"/>
          </w:tcPr>
          <w:p>
            <w:pPr>
              <w:spacing w:before="0" w:after="0" w:line="264" w:lineRule="auto"/>
            </w:pPr>
            <w:r/>
            <w:r>
              <w:rPr>
                <w:rFonts w:ascii="Times New Roman" w:hAnsi="Times New Roman"/>
                <w:b w:val="0"/>
                <w:i w:val="0"/>
                <w:sz w:val="20"/>
              </w:rPr>
              <w:t>3.78</w:t>
            </w:r>
          </w:p>
        </w:tc>
        <w:tc>
          <w:tcPr>
            <w:tcW w:type="dxa" w:w="1176"/>
            <w:vAlign w:val="center"/>
          </w:tcPr>
          <w:p>
            <w:pPr>
              <w:spacing w:before="0" w:after="0" w:line="264" w:lineRule="auto"/>
            </w:pPr>
            <w:r/>
            <w:r>
              <w:rPr>
                <w:rFonts w:ascii="Times New Roman" w:hAnsi="Times New Roman"/>
                <w:b w:val="0"/>
                <w:i w:val="0"/>
                <w:sz w:val="20"/>
              </w:rPr>
              <w:t>219.74</w:t>
            </w:r>
          </w:p>
        </w:tc>
        <w:tc>
          <w:tcPr>
            <w:tcW w:type="dxa" w:w="1176"/>
            <w:vAlign w:val="center"/>
          </w:tcPr>
          <w:p>
            <w:pPr>
              <w:spacing w:before="0" w:after="0" w:line="264" w:lineRule="auto"/>
            </w:pPr>
            <w:r/>
            <w:r>
              <w:rPr>
                <w:rFonts w:ascii="Times New Roman" w:hAnsi="Times New Roman"/>
                <w:b w:val="0"/>
                <w:i w:val="0"/>
                <w:sz w:val="20"/>
              </w:rPr>
              <w:t>0.00118</w:t>
            </w:r>
          </w:p>
        </w:tc>
        <w:tc>
          <w:tcPr>
            <w:tcW w:type="dxa" w:w="1176"/>
            <w:vAlign w:val="center"/>
          </w:tcPr>
          <w:p>
            <w:pPr>
              <w:spacing w:before="0" w:after="0" w:line="264" w:lineRule="auto"/>
            </w:pPr>
            <w:r/>
            <w:r>
              <w:rPr>
                <w:rFonts w:ascii="Times New Roman" w:hAnsi="Times New Roman"/>
                <w:b w:val="0"/>
                <w:i w:val="0"/>
                <w:sz w:val="20"/>
              </w:rPr>
              <w:t>0.788</w:t>
            </w:r>
          </w:p>
        </w:tc>
      </w:tr>
    </w:tbl>
    <w:p>
      <w:pPr>
        <w:spacing w:after="120"/>
      </w:pPr>
    </w:p>
    <w:p>
      <w:pPr>
        <w:spacing w:before="0" w:after="120" w:line="312" w:lineRule="auto"/>
        <w:jc w:val="both"/>
      </w:pPr>
      <w:r>
        <w:rPr>
          <w:rFonts w:ascii="Times New Roman" w:hAnsi="Times New Roman"/>
          <w:b w:val="0"/>
          <w:i w:val="0"/>
          <w:sz w:val="21"/>
        </w:rPr>
        <w:t xml:space="preserve">Univariable Cox HR (95% CI), P value, number of events, and C-index for day-14 Deauville ≥4, month-3 Deauville ≥4, day-14 Lugano non-CMR, month-3 Lugano non-CMR, and JLCM-Deauville high-risk versus low-risk. ctDNA-JLCM HR included for reference. Nomenclature harmonised to low-risk/high-risk. Day-14 Lugano non-CMR coincided patient-by-patient with Deauville ≥4 in this cohort; the two classifiers therefore yielded mathematically identical HR, P value, and C-index. Lugano is reported here for completeness and is referenced in the main text Table 2 footnote </w:t>
      </w:r>
      <w:r>
        <w:rPr>
          <w:rFonts w:ascii="Times New Roman" w:hAnsi="Times New Roman"/>
          <w:b w:val="0"/>
          <w:i w:val="0"/>
          <w:sz w:val="21"/>
          <w:vertAlign w:val="superscript"/>
        </w:rPr>
        <w:t>h</w:t>
      </w:r>
      <w:r>
        <w:rPr>
          <w:rFonts w:ascii="Times New Roman" w:hAnsi="Times New Roman"/>
          <w:b w:val="0"/>
          <w:i w:val="0"/>
          <w:sz w:val="21"/>
        </w:rPr>
        <w:t>; the corresponding row was therefore moved out of the main Table 2 to this supplemental S12 to avoid duplication.</w:t>
      </w:r>
    </w:p>
    <w:p>
      <w:pPr>
        <w:keepNext/>
        <w:spacing w:before="200" w:after="120" w:line="288" w:lineRule="auto"/>
      </w:pPr>
      <w:r>
        <w:rPr>
          <w:rFonts w:ascii="Times New Roman" w:hAnsi="Times New Roman"/>
          <w:b/>
          <w:i/>
          <w:sz w:val="26"/>
        </w:rPr>
        <w:t>Supplemental Table S13. Bivariable Cox models combining ctDNA-JLCM and PET covariates</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shd w:val="clear" w:color="auto" w:fill="E7E6E6"/>
          </w:tcPr>
          <w:p>
            <w:pPr>
              <w:spacing w:before="0" w:after="0" w:line="264" w:lineRule="auto"/>
            </w:pPr>
            <w:r/>
            <w:r>
              <w:rPr>
                <w:rFonts w:ascii="Times New Roman" w:hAnsi="Times New Roman"/>
                <w:b/>
                <w:i w:val="0"/>
                <w:sz w:val="20"/>
              </w:rPr>
              <w:t>model</w:t>
            </w:r>
          </w:p>
        </w:tc>
        <w:tc>
          <w:tcPr>
            <w:tcW w:type="dxa" w:w="1045"/>
            <w:vAlign w:val="center"/>
            <w:shd w:val="clear" w:color="auto" w:fill="E7E6E6"/>
          </w:tcPr>
          <w:p>
            <w:pPr>
              <w:spacing w:before="0" w:after="0" w:line="264" w:lineRule="auto"/>
            </w:pPr>
            <w:r/>
            <w:r>
              <w:rPr>
                <w:rFonts w:ascii="Times New Roman" w:hAnsi="Times New Roman"/>
                <w:b/>
                <w:i w:val="0"/>
                <w:sz w:val="20"/>
              </w:rPr>
              <w:t>covariate</w:t>
            </w:r>
          </w:p>
        </w:tc>
        <w:tc>
          <w:tcPr>
            <w:tcW w:type="dxa" w:w="1045"/>
            <w:vAlign w:val="center"/>
            <w:shd w:val="clear" w:color="auto" w:fill="E7E6E6"/>
          </w:tcPr>
          <w:p>
            <w:pPr>
              <w:spacing w:before="0" w:after="0" w:line="264" w:lineRule="auto"/>
            </w:pPr>
            <w:r/>
            <w:r>
              <w:rPr>
                <w:rFonts w:ascii="Times New Roman" w:hAnsi="Times New Roman"/>
                <w:b/>
                <w:i w:val="0"/>
                <w:sz w:val="20"/>
              </w:rPr>
              <w:t>n</w:t>
            </w:r>
          </w:p>
        </w:tc>
        <w:tc>
          <w:tcPr>
            <w:tcW w:type="dxa" w:w="1045"/>
            <w:vAlign w:val="center"/>
            <w:shd w:val="clear" w:color="auto" w:fill="E7E6E6"/>
          </w:tcPr>
          <w:p>
            <w:pPr>
              <w:spacing w:before="0" w:after="0" w:line="264" w:lineRule="auto"/>
            </w:pPr>
            <w:r/>
            <w:r>
              <w:rPr>
                <w:rFonts w:ascii="Times New Roman" w:hAnsi="Times New Roman"/>
                <w:b/>
                <w:i w:val="0"/>
                <w:sz w:val="20"/>
              </w:rPr>
              <w:t>n_events</w:t>
            </w:r>
          </w:p>
        </w:tc>
        <w:tc>
          <w:tcPr>
            <w:tcW w:type="dxa" w:w="1045"/>
            <w:vAlign w:val="center"/>
            <w:shd w:val="clear" w:color="auto" w:fill="E7E6E6"/>
          </w:tcPr>
          <w:p>
            <w:pPr>
              <w:spacing w:before="0" w:after="0" w:line="264" w:lineRule="auto"/>
            </w:pPr>
            <w:r/>
            <w:r>
              <w:rPr>
                <w:rFonts w:ascii="Times New Roman" w:hAnsi="Times New Roman"/>
                <w:b/>
                <w:i w:val="0"/>
                <w:sz w:val="20"/>
              </w:rPr>
              <w:t>HR</w:t>
            </w:r>
          </w:p>
        </w:tc>
        <w:tc>
          <w:tcPr>
            <w:tcW w:type="dxa" w:w="1045"/>
            <w:vAlign w:val="center"/>
            <w:shd w:val="clear" w:color="auto" w:fill="E7E6E6"/>
          </w:tcPr>
          <w:p>
            <w:pPr>
              <w:spacing w:before="0" w:after="0" w:line="264" w:lineRule="auto"/>
            </w:pPr>
            <w:r/>
            <w:r>
              <w:rPr>
                <w:rFonts w:ascii="Times New Roman" w:hAnsi="Times New Roman"/>
                <w:b/>
                <w:i w:val="0"/>
                <w:sz w:val="20"/>
              </w:rPr>
              <w:t>lower</w:t>
            </w:r>
          </w:p>
        </w:tc>
        <w:tc>
          <w:tcPr>
            <w:tcW w:type="dxa" w:w="1045"/>
            <w:vAlign w:val="center"/>
            <w:shd w:val="clear" w:color="auto" w:fill="E7E6E6"/>
          </w:tcPr>
          <w:p>
            <w:pPr>
              <w:spacing w:before="0" w:after="0" w:line="264" w:lineRule="auto"/>
            </w:pPr>
            <w:r/>
            <w:r>
              <w:rPr>
                <w:rFonts w:ascii="Times New Roman" w:hAnsi="Times New Roman"/>
                <w:b/>
                <w:i w:val="0"/>
                <w:sz w:val="20"/>
              </w:rPr>
              <w:t>upper</w:t>
            </w:r>
          </w:p>
        </w:tc>
        <w:tc>
          <w:tcPr>
            <w:tcW w:type="dxa" w:w="1045"/>
            <w:vAlign w:val="center"/>
            <w:shd w:val="clear" w:color="auto" w:fill="E7E6E6"/>
          </w:tcPr>
          <w:p>
            <w:pPr>
              <w:spacing w:before="0" w:after="0" w:line="264" w:lineRule="auto"/>
            </w:pPr>
            <w:r/>
            <w:r>
              <w:rPr>
                <w:rFonts w:ascii="Times New Roman" w:hAnsi="Times New Roman"/>
                <w:b/>
                <w:i w:val="0"/>
                <w:sz w:val="20"/>
              </w:rPr>
              <w:t>p</w:t>
            </w:r>
          </w:p>
        </w:tc>
        <w:tc>
          <w:tcPr>
            <w:tcW w:type="dxa" w:w="1045"/>
            <w:vAlign w:val="center"/>
            <w:shd w:val="clear" w:color="auto" w:fill="E7E6E6"/>
          </w:tcPr>
          <w:p>
            <w:pPr>
              <w:spacing w:before="0" w:after="0" w:line="264" w:lineRule="auto"/>
            </w:pPr>
            <w:r/>
            <w:r>
              <w:rPr>
                <w:rFonts w:ascii="Times New Roman" w:hAnsi="Times New Roman"/>
                <w:b/>
                <w:i w:val="0"/>
                <w:sz w:val="20"/>
              </w:rPr>
              <w:t>c_index</w:t>
            </w:r>
          </w:p>
        </w:tc>
      </w:tr>
      <w:tr>
        <w:tc>
          <w:tcPr>
            <w:tcW w:type="dxa" w:w="1045"/>
            <w:vAlign w:val="center"/>
          </w:tcPr>
          <w:p>
            <w:pPr>
              <w:spacing w:before="0" w:after="0" w:line="264" w:lineRule="auto"/>
            </w:pPr>
            <w:r/>
            <w:r>
              <w:rPr>
                <w:rFonts w:ascii="Times New Roman" w:hAnsi="Times New Roman"/>
                <w:b w:val="0"/>
                <w:i w:val="0"/>
                <w:sz w:val="20"/>
              </w:rPr>
              <w:t>ctDNA-JLCM + Deauville_D14 (EFS)</w:t>
            </w:r>
          </w:p>
        </w:tc>
        <w:tc>
          <w:tcPr>
            <w:tcW w:type="dxa" w:w="1045"/>
            <w:vAlign w:val="center"/>
          </w:tcPr>
          <w:p>
            <w:pPr>
              <w:spacing w:before="0" w:after="0" w:line="264" w:lineRule="auto"/>
            </w:pPr>
            <w:r/>
            <w:r>
              <w:rPr>
                <w:rFonts w:ascii="Times New Roman" w:hAnsi="Times New Roman"/>
                <w:b w:val="0"/>
                <w:i w:val="0"/>
                <w:sz w:val="20"/>
              </w:rPr>
              <w:t>JLCM-ctDNA high-risk</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24</w:t>
            </w:r>
          </w:p>
        </w:tc>
        <w:tc>
          <w:tcPr>
            <w:tcW w:type="dxa" w:w="1045"/>
            <w:vAlign w:val="center"/>
          </w:tcPr>
          <w:p>
            <w:pPr>
              <w:spacing w:before="0" w:after="0" w:line="264" w:lineRule="auto"/>
            </w:pPr>
            <w:r/>
            <w:r>
              <w:rPr>
                <w:rFonts w:ascii="Times New Roman" w:hAnsi="Times New Roman"/>
                <w:b w:val="0"/>
                <w:i w:val="0"/>
                <w:sz w:val="20"/>
              </w:rPr>
              <w:t>inf (separation)</w:t>
            </w:r>
          </w:p>
        </w:tc>
        <w:tc>
          <w:tcPr>
            <w:tcW w:type="dxa" w:w="1045"/>
            <w:vAlign w:val="center"/>
          </w:tcPr>
          <w:p>
            <w:pPr>
              <w:spacing w:before="0" w:after="0" w:line="264" w:lineRule="auto"/>
            </w:pPr>
            <w:r/>
            <w:r>
              <w:rPr>
                <w:rFonts w:ascii="Times New Roman" w:hAnsi="Times New Roman"/>
                <w:b w:val="0"/>
                <w:i w:val="0"/>
                <w:sz w:val="20"/>
              </w:rPr>
              <w:t>0.0</w:t>
            </w:r>
          </w:p>
        </w:tc>
        <w:tc>
          <w:tcPr>
            <w:tcW w:type="dxa" w:w="1045"/>
            <w:vAlign w:val="center"/>
          </w:tcPr>
          <w:p>
            <w:pPr>
              <w:spacing w:before="0" w:after="0" w:line="264" w:lineRule="auto"/>
            </w:pPr>
            <w:r/>
            <w:r>
              <w:rPr>
                <w:rFonts w:ascii="Times New Roman" w:hAnsi="Times New Roman"/>
                <w:b w:val="0"/>
                <w:i w:val="0"/>
                <w:sz w:val="20"/>
              </w:rPr>
              <w:t>inf</w:t>
            </w:r>
          </w:p>
        </w:tc>
        <w:tc>
          <w:tcPr>
            <w:tcW w:type="dxa" w:w="1045"/>
            <w:vAlign w:val="center"/>
          </w:tcPr>
          <w:p>
            <w:pPr>
              <w:spacing w:before="0" w:after="0" w:line="264" w:lineRule="auto"/>
            </w:pPr>
            <w:r/>
            <w:r>
              <w:rPr>
                <w:rFonts w:ascii="Times New Roman" w:hAnsi="Times New Roman"/>
                <w:b w:val="0"/>
                <w:i w:val="0"/>
                <w:sz w:val="20"/>
              </w:rPr>
              <w:t>0.997</w:t>
            </w:r>
          </w:p>
        </w:tc>
        <w:tc>
          <w:tcPr>
            <w:tcW w:type="dxa" w:w="1045"/>
            <w:vAlign w:val="center"/>
          </w:tcPr>
          <w:p>
            <w:pPr>
              <w:spacing w:before="0" w:after="0" w:line="264" w:lineRule="auto"/>
            </w:pPr>
            <w:r/>
            <w:r>
              <w:rPr>
                <w:rFonts w:ascii="Times New Roman" w:hAnsi="Times New Roman"/>
                <w:b w:val="0"/>
                <w:i w:val="0"/>
                <w:sz w:val="20"/>
              </w:rPr>
              <w:t>0.817</w:t>
            </w:r>
          </w:p>
        </w:tc>
      </w:tr>
      <w:tr>
        <w:tc>
          <w:tcPr>
            <w:tcW w:type="dxa" w:w="1045"/>
            <w:vAlign w:val="center"/>
          </w:tcPr>
          <w:p>
            <w:pPr>
              <w:spacing w:before="0" w:after="0" w:line="264" w:lineRule="auto"/>
            </w:pPr>
            <w:r/>
            <w:r>
              <w:rPr>
                <w:rFonts w:ascii="Times New Roman" w:hAnsi="Times New Roman"/>
                <w:b w:val="0"/>
                <w:i w:val="0"/>
                <w:sz w:val="20"/>
              </w:rPr>
              <w:t>ctDNA-JLCM + Deauville_D14 (EFS)</w:t>
            </w:r>
          </w:p>
        </w:tc>
        <w:tc>
          <w:tcPr>
            <w:tcW w:type="dxa" w:w="1045"/>
            <w:vAlign w:val="center"/>
          </w:tcPr>
          <w:p>
            <w:pPr>
              <w:spacing w:before="0" w:after="0" w:line="264" w:lineRule="auto"/>
            </w:pPr>
            <w:r/>
            <w:r>
              <w:rPr>
                <w:rFonts w:ascii="Times New Roman" w:hAnsi="Times New Roman"/>
                <w:b w:val="0"/>
                <w:i w:val="0"/>
                <w:sz w:val="20"/>
              </w:rPr>
              <w:t>Deauville D14 &gt;=4</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24</w:t>
            </w:r>
          </w:p>
        </w:tc>
        <w:tc>
          <w:tcPr>
            <w:tcW w:type="dxa" w:w="1045"/>
            <w:vAlign w:val="center"/>
          </w:tcPr>
          <w:p>
            <w:pPr>
              <w:spacing w:before="0" w:after="0" w:line="264" w:lineRule="auto"/>
            </w:pPr>
            <w:r/>
            <w:r>
              <w:rPr>
                <w:rFonts w:ascii="Times New Roman" w:hAnsi="Times New Roman"/>
                <w:b w:val="0"/>
                <w:i w:val="0"/>
                <w:sz w:val="20"/>
              </w:rPr>
              <w:t>1.02</w:t>
            </w:r>
          </w:p>
        </w:tc>
        <w:tc>
          <w:tcPr>
            <w:tcW w:type="dxa" w:w="1045"/>
            <w:vAlign w:val="center"/>
          </w:tcPr>
          <w:p>
            <w:pPr>
              <w:spacing w:before="0" w:after="0" w:line="264" w:lineRule="auto"/>
            </w:pPr>
            <w:r/>
            <w:r>
              <w:rPr>
                <w:rFonts w:ascii="Times New Roman" w:hAnsi="Times New Roman"/>
                <w:b w:val="0"/>
                <w:i w:val="0"/>
                <w:sz w:val="20"/>
              </w:rPr>
              <w:t>0.42</w:t>
            </w:r>
          </w:p>
        </w:tc>
        <w:tc>
          <w:tcPr>
            <w:tcW w:type="dxa" w:w="1045"/>
            <w:vAlign w:val="center"/>
          </w:tcPr>
          <w:p>
            <w:pPr>
              <w:spacing w:before="0" w:after="0" w:line="264" w:lineRule="auto"/>
            </w:pPr>
            <w:r/>
            <w:r>
              <w:rPr>
                <w:rFonts w:ascii="Times New Roman" w:hAnsi="Times New Roman"/>
                <w:b w:val="0"/>
                <w:i w:val="0"/>
                <w:sz w:val="20"/>
              </w:rPr>
              <w:t>2.5</w:t>
            </w:r>
          </w:p>
        </w:tc>
        <w:tc>
          <w:tcPr>
            <w:tcW w:type="dxa" w:w="1045"/>
            <w:vAlign w:val="center"/>
          </w:tcPr>
          <w:p>
            <w:pPr>
              <w:spacing w:before="0" w:after="0" w:line="264" w:lineRule="auto"/>
            </w:pPr>
            <w:r/>
            <w:r>
              <w:rPr>
                <w:rFonts w:ascii="Times New Roman" w:hAnsi="Times New Roman"/>
                <w:b w:val="0"/>
                <w:i w:val="0"/>
                <w:sz w:val="20"/>
              </w:rPr>
              <w:t>0.965</w:t>
            </w:r>
          </w:p>
        </w:tc>
        <w:tc>
          <w:tcPr>
            <w:tcW w:type="dxa" w:w="1045"/>
            <w:vAlign w:val="center"/>
          </w:tcPr>
          <w:p>
            <w:pPr>
              <w:spacing w:before="0" w:after="0" w:line="264" w:lineRule="auto"/>
            </w:pPr>
            <w:r/>
            <w:r>
              <w:rPr>
                <w:rFonts w:ascii="Times New Roman" w:hAnsi="Times New Roman"/>
                <w:b w:val="0"/>
                <w:i w:val="0"/>
                <w:sz w:val="20"/>
              </w:rPr>
              <w:t>0.817</w:t>
            </w:r>
          </w:p>
        </w:tc>
      </w:tr>
      <w:tr>
        <w:tc>
          <w:tcPr>
            <w:tcW w:type="dxa" w:w="1045"/>
            <w:vAlign w:val="center"/>
          </w:tcPr>
          <w:p>
            <w:pPr>
              <w:spacing w:before="0" w:after="0" w:line="264" w:lineRule="auto"/>
            </w:pPr>
            <w:r/>
            <w:r>
              <w:rPr>
                <w:rFonts w:ascii="Times New Roman" w:hAnsi="Times New Roman"/>
                <w:b w:val="0"/>
                <w:i w:val="0"/>
                <w:sz w:val="20"/>
              </w:rPr>
              <w:t>ctDNA-JLCM + Deauville_D14 (OS)</w:t>
            </w:r>
          </w:p>
        </w:tc>
        <w:tc>
          <w:tcPr>
            <w:tcW w:type="dxa" w:w="1045"/>
            <w:vAlign w:val="center"/>
          </w:tcPr>
          <w:p>
            <w:pPr>
              <w:spacing w:before="0" w:after="0" w:line="264" w:lineRule="auto"/>
            </w:pPr>
            <w:r/>
            <w:r>
              <w:rPr>
                <w:rFonts w:ascii="Times New Roman" w:hAnsi="Times New Roman"/>
                <w:b w:val="0"/>
                <w:i w:val="0"/>
                <w:sz w:val="20"/>
              </w:rPr>
              <w:t>JLCM-ctDNA high-risk</w:t>
            </w:r>
          </w:p>
        </w:tc>
        <w:tc>
          <w:tcPr>
            <w:tcW w:type="dxa" w:w="1045"/>
            <w:vAlign w:val="center"/>
          </w:tcPr>
          <w:p>
            <w:pPr>
              <w:spacing w:before="0" w:after="0" w:line="264" w:lineRule="auto"/>
            </w:pPr>
            <w:r/>
            <w:r>
              <w:rPr>
                <w:rFonts w:ascii="Times New Roman" w:hAnsi="Times New Roman"/>
                <w:b w:val="0"/>
                <w:i w:val="0"/>
                <w:sz w:val="20"/>
              </w:rPr>
              <w:t>38</w:t>
            </w:r>
          </w:p>
        </w:tc>
        <w:tc>
          <w:tcPr>
            <w:tcW w:type="dxa" w:w="1045"/>
            <w:vAlign w:val="center"/>
          </w:tcPr>
          <w:p>
            <w:pPr>
              <w:spacing w:before="0" w:after="0" w:line="264" w:lineRule="auto"/>
            </w:pPr>
            <w:r/>
            <w:r>
              <w:rPr>
                <w:rFonts w:ascii="Times New Roman" w:hAnsi="Times New Roman"/>
                <w:b w:val="0"/>
                <w:i w:val="0"/>
                <w:sz w:val="20"/>
              </w:rPr>
              <w:t>17</w:t>
            </w:r>
          </w:p>
        </w:tc>
        <w:tc>
          <w:tcPr>
            <w:tcW w:type="dxa" w:w="1045"/>
            <w:vAlign w:val="center"/>
          </w:tcPr>
          <w:p>
            <w:pPr>
              <w:spacing w:before="0" w:after="0" w:line="264" w:lineRule="auto"/>
            </w:pPr>
            <w:r/>
            <w:r>
              <w:rPr>
                <w:rFonts w:ascii="Times New Roman" w:hAnsi="Times New Roman"/>
                <w:b w:val="0"/>
                <w:i w:val="0"/>
                <w:sz w:val="20"/>
              </w:rPr>
              <w:t>31.6</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243.59</w:t>
            </w:r>
          </w:p>
        </w:tc>
        <w:tc>
          <w:tcPr>
            <w:tcW w:type="dxa" w:w="1045"/>
            <w:vAlign w:val="center"/>
          </w:tcPr>
          <w:p>
            <w:pPr>
              <w:spacing w:before="0" w:after="0" w:line="264" w:lineRule="auto"/>
            </w:pPr>
            <w:r/>
            <w:r>
              <w:rPr>
                <w:rFonts w:ascii="Times New Roman" w:hAnsi="Times New Roman"/>
                <w:b w:val="0"/>
                <w:i w:val="0"/>
                <w:sz w:val="20"/>
              </w:rPr>
              <w:t>0.000921</w:t>
            </w:r>
          </w:p>
        </w:tc>
        <w:tc>
          <w:tcPr>
            <w:tcW w:type="dxa" w:w="1045"/>
            <w:vAlign w:val="center"/>
          </w:tcPr>
          <w:p>
            <w:pPr>
              <w:spacing w:before="0" w:after="0" w:line="264" w:lineRule="auto"/>
            </w:pPr>
            <w:r/>
            <w:r>
              <w:rPr>
                <w:rFonts w:ascii="Times New Roman" w:hAnsi="Times New Roman"/>
                <w:b w:val="0"/>
                <w:i w:val="0"/>
                <w:sz w:val="20"/>
              </w:rPr>
              <w:t>0.802</w:t>
            </w:r>
          </w:p>
        </w:tc>
      </w:tr>
      <w:tr>
        <w:tc>
          <w:tcPr>
            <w:tcW w:type="dxa" w:w="1045"/>
            <w:vAlign w:val="center"/>
          </w:tcPr>
          <w:p>
            <w:pPr>
              <w:spacing w:before="0" w:after="0" w:line="264" w:lineRule="auto"/>
            </w:pPr>
            <w:r/>
            <w:r>
              <w:rPr>
                <w:rFonts w:ascii="Times New Roman" w:hAnsi="Times New Roman"/>
                <w:b w:val="0"/>
                <w:i w:val="0"/>
                <w:sz w:val="20"/>
              </w:rPr>
              <w:t>ctDNA-JLCM + Deauville_D14 (OS)</w:t>
            </w:r>
          </w:p>
        </w:tc>
        <w:tc>
          <w:tcPr>
            <w:tcW w:type="dxa" w:w="1045"/>
            <w:vAlign w:val="center"/>
          </w:tcPr>
          <w:p>
            <w:pPr>
              <w:spacing w:before="0" w:after="0" w:line="264" w:lineRule="auto"/>
            </w:pPr>
            <w:r/>
            <w:r>
              <w:rPr>
                <w:rFonts w:ascii="Times New Roman" w:hAnsi="Times New Roman"/>
                <w:b w:val="0"/>
                <w:i w:val="0"/>
                <w:sz w:val="20"/>
              </w:rPr>
              <w:t>Deauville D14 &gt;=4</w:t>
            </w:r>
          </w:p>
        </w:tc>
        <w:tc>
          <w:tcPr>
            <w:tcW w:type="dxa" w:w="1045"/>
            <w:vAlign w:val="center"/>
          </w:tcPr>
          <w:p>
            <w:pPr>
              <w:spacing w:before="0" w:after="0" w:line="264" w:lineRule="auto"/>
            </w:pPr>
            <w:r/>
            <w:r>
              <w:rPr>
                <w:rFonts w:ascii="Times New Roman" w:hAnsi="Times New Roman"/>
                <w:b w:val="0"/>
                <w:i w:val="0"/>
                <w:sz w:val="20"/>
              </w:rPr>
              <w:t>38</w:t>
            </w:r>
          </w:p>
        </w:tc>
        <w:tc>
          <w:tcPr>
            <w:tcW w:type="dxa" w:w="1045"/>
            <w:vAlign w:val="center"/>
          </w:tcPr>
          <w:p>
            <w:pPr>
              <w:spacing w:before="0" w:after="0" w:line="264" w:lineRule="auto"/>
            </w:pPr>
            <w:r/>
            <w:r>
              <w:rPr>
                <w:rFonts w:ascii="Times New Roman" w:hAnsi="Times New Roman"/>
                <w:b w:val="0"/>
                <w:i w:val="0"/>
                <w:sz w:val="20"/>
              </w:rPr>
              <w:t>17</w:t>
            </w:r>
          </w:p>
        </w:tc>
        <w:tc>
          <w:tcPr>
            <w:tcW w:type="dxa" w:w="1045"/>
            <w:vAlign w:val="center"/>
          </w:tcPr>
          <w:p>
            <w:pPr>
              <w:spacing w:before="0" w:after="0" w:line="264" w:lineRule="auto"/>
            </w:pPr>
            <w:r/>
            <w:r>
              <w:rPr>
                <w:rFonts w:ascii="Times New Roman" w:hAnsi="Times New Roman"/>
                <w:b w:val="0"/>
                <w:i w:val="0"/>
                <w:sz w:val="20"/>
              </w:rPr>
              <w:t>0.43</w:t>
            </w:r>
          </w:p>
        </w:tc>
        <w:tc>
          <w:tcPr>
            <w:tcW w:type="dxa" w:w="1045"/>
            <w:vAlign w:val="center"/>
          </w:tcPr>
          <w:p>
            <w:pPr>
              <w:spacing w:before="0" w:after="0" w:line="264" w:lineRule="auto"/>
            </w:pPr>
            <w:r/>
            <w:r>
              <w:rPr>
                <w:rFonts w:ascii="Times New Roman" w:hAnsi="Times New Roman"/>
                <w:b w:val="0"/>
                <w:i w:val="0"/>
                <w:sz w:val="20"/>
              </w:rPr>
              <w:t>0.14</w:t>
            </w:r>
          </w:p>
        </w:tc>
        <w:tc>
          <w:tcPr>
            <w:tcW w:type="dxa" w:w="1045"/>
            <w:vAlign w:val="center"/>
          </w:tcPr>
          <w:p>
            <w:pPr>
              <w:spacing w:before="0" w:after="0" w:line="264" w:lineRule="auto"/>
            </w:pPr>
            <w:r/>
            <w:r>
              <w:rPr>
                <w:rFonts w:ascii="Times New Roman" w:hAnsi="Times New Roman"/>
                <w:b w:val="0"/>
                <w:i w:val="0"/>
                <w:sz w:val="20"/>
              </w:rPr>
              <w:t>1.36</w:t>
            </w:r>
          </w:p>
        </w:tc>
        <w:tc>
          <w:tcPr>
            <w:tcW w:type="dxa" w:w="1045"/>
            <w:vAlign w:val="center"/>
          </w:tcPr>
          <w:p>
            <w:pPr>
              <w:spacing w:before="0" w:after="0" w:line="264" w:lineRule="auto"/>
            </w:pPr>
            <w:r/>
            <w:r>
              <w:rPr>
                <w:rFonts w:ascii="Times New Roman" w:hAnsi="Times New Roman"/>
                <w:b w:val="0"/>
                <w:i w:val="0"/>
                <w:sz w:val="20"/>
              </w:rPr>
              <w:t>0.15</w:t>
            </w:r>
          </w:p>
        </w:tc>
        <w:tc>
          <w:tcPr>
            <w:tcW w:type="dxa" w:w="1045"/>
            <w:vAlign w:val="center"/>
          </w:tcPr>
          <w:p>
            <w:pPr>
              <w:spacing w:before="0" w:after="0" w:line="264" w:lineRule="auto"/>
            </w:pPr>
            <w:r/>
            <w:r>
              <w:rPr>
                <w:rFonts w:ascii="Times New Roman" w:hAnsi="Times New Roman"/>
                <w:b w:val="0"/>
                <w:i w:val="0"/>
                <w:sz w:val="20"/>
              </w:rPr>
              <w:t>0.802</w:t>
            </w:r>
          </w:p>
        </w:tc>
      </w:tr>
      <w:tr>
        <w:tc>
          <w:tcPr>
            <w:tcW w:type="dxa" w:w="1045"/>
            <w:vAlign w:val="center"/>
          </w:tcPr>
          <w:p>
            <w:pPr>
              <w:spacing w:before="0" w:after="0" w:line="264" w:lineRule="auto"/>
            </w:pPr>
            <w:r/>
            <w:r>
              <w:rPr>
                <w:rFonts w:ascii="Times New Roman" w:hAnsi="Times New Roman"/>
                <w:b w:val="0"/>
                <w:i w:val="0"/>
                <w:sz w:val="20"/>
              </w:rPr>
              <w:t>ctDNA-JLCM + Lugano_D14 (EFS)</w:t>
            </w:r>
          </w:p>
        </w:tc>
        <w:tc>
          <w:tcPr>
            <w:tcW w:type="dxa" w:w="1045"/>
            <w:vAlign w:val="center"/>
          </w:tcPr>
          <w:p>
            <w:pPr>
              <w:spacing w:before="0" w:after="0" w:line="264" w:lineRule="auto"/>
            </w:pPr>
            <w:r/>
            <w:r>
              <w:rPr>
                <w:rFonts w:ascii="Times New Roman" w:hAnsi="Times New Roman"/>
                <w:b w:val="0"/>
                <w:i w:val="0"/>
                <w:sz w:val="20"/>
              </w:rPr>
              <w:t>JLCM-ctDNA high-risk</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24</w:t>
            </w:r>
          </w:p>
        </w:tc>
        <w:tc>
          <w:tcPr>
            <w:tcW w:type="dxa" w:w="1045"/>
            <w:vAlign w:val="center"/>
          </w:tcPr>
          <w:p>
            <w:pPr>
              <w:spacing w:before="0" w:after="0" w:line="264" w:lineRule="auto"/>
            </w:pPr>
            <w:r/>
            <w:r>
              <w:rPr>
                <w:rFonts w:ascii="Times New Roman" w:hAnsi="Times New Roman"/>
                <w:b w:val="0"/>
                <w:i w:val="0"/>
                <w:sz w:val="20"/>
              </w:rPr>
              <w:t>inf (separation)</w:t>
            </w:r>
          </w:p>
        </w:tc>
        <w:tc>
          <w:tcPr>
            <w:tcW w:type="dxa" w:w="1045"/>
            <w:vAlign w:val="center"/>
          </w:tcPr>
          <w:p>
            <w:pPr>
              <w:spacing w:before="0" w:after="0" w:line="264" w:lineRule="auto"/>
            </w:pPr>
            <w:r/>
            <w:r>
              <w:rPr>
                <w:rFonts w:ascii="Times New Roman" w:hAnsi="Times New Roman"/>
                <w:b w:val="0"/>
                <w:i w:val="0"/>
                <w:sz w:val="20"/>
              </w:rPr>
              <w:t>0.0</w:t>
            </w:r>
          </w:p>
        </w:tc>
        <w:tc>
          <w:tcPr>
            <w:tcW w:type="dxa" w:w="1045"/>
            <w:vAlign w:val="center"/>
          </w:tcPr>
          <w:p>
            <w:pPr>
              <w:spacing w:before="0" w:after="0" w:line="264" w:lineRule="auto"/>
            </w:pPr>
            <w:r/>
            <w:r>
              <w:rPr>
                <w:rFonts w:ascii="Times New Roman" w:hAnsi="Times New Roman"/>
                <w:b w:val="0"/>
                <w:i w:val="0"/>
                <w:sz w:val="20"/>
              </w:rPr>
              <w:t>inf</w:t>
            </w:r>
          </w:p>
        </w:tc>
        <w:tc>
          <w:tcPr>
            <w:tcW w:type="dxa" w:w="1045"/>
            <w:vAlign w:val="center"/>
          </w:tcPr>
          <w:p>
            <w:pPr>
              <w:spacing w:before="0" w:after="0" w:line="264" w:lineRule="auto"/>
            </w:pPr>
            <w:r/>
            <w:r>
              <w:rPr>
                <w:rFonts w:ascii="Times New Roman" w:hAnsi="Times New Roman"/>
                <w:b w:val="0"/>
                <w:i w:val="0"/>
                <w:sz w:val="20"/>
              </w:rPr>
              <w:t>0.997</w:t>
            </w:r>
          </w:p>
        </w:tc>
        <w:tc>
          <w:tcPr>
            <w:tcW w:type="dxa" w:w="1045"/>
            <w:vAlign w:val="center"/>
          </w:tcPr>
          <w:p>
            <w:pPr>
              <w:spacing w:before="0" w:after="0" w:line="264" w:lineRule="auto"/>
            </w:pPr>
            <w:r/>
            <w:r>
              <w:rPr>
                <w:rFonts w:ascii="Times New Roman" w:hAnsi="Times New Roman"/>
                <w:b w:val="0"/>
                <w:i w:val="0"/>
                <w:sz w:val="20"/>
              </w:rPr>
              <w:t>0.817</w:t>
            </w:r>
          </w:p>
        </w:tc>
      </w:tr>
      <w:tr>
        <w:tc>
          <w:tcPr>
            <w:tcW w:type="dxa" w:w="1045"/>
            <w:vAlign w:val="center"/>
          </w:tcPr>
          <w:p>
            <w:pPr>
              <w:spacing w:before="0" w:after="0" w:line="264" w:lineRule="auto"/>
            </w:pPr>
            <w:r/>
            <w:r>
              <w:rPr>
                <w:rFonts w:ascii="Times New Roman" w:hAnsi="Times New Roman"/>
                <w:b w:val="0"/>
                <w:i w:val="0"/>
                <w:sz w:val="20"/>
              </w:rPr>
              <w:t>ctDNA-JLCM + Lugano_D14 (EFS)</w:t>
            </w:r>
          </w:p>
        </w:tc>
        <w:tc>
          <w:tcPr>
            <w:tcW w:type="dxa" w:w="1045"/>
            <w:vAlign w:val="center"/>
          </w:tcPr>
          <w:p>
            <w:pPr>
              <w:spacing w:before="0" w:after="0" w:line="264" w:lineRule="auto"/>
            </w:pPr>
            <w:r/>
            <w:r>
              <w:rPr>
                <w:rFonts w:ascii="Times New Roman" w:hAnsi="Times New Roman"/>
                <w:b w:val="0"/>
                <w:i w:val="0"/>
                <w:sz w:val="20"/>
              </w:rPr>
              <w:t>Lugano D14 non-CMR</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24</w:t>
            </w:r>
          </w:p>
        </w:tc>
        <w:tc>
          <w:tcPr>
            <w:tcW w:type="dxa" w:w="1045"/>
            <w:vAlign w:val="center"/>
          </w:tcPr>
          <w:p>
            <w:pPr>
              <w:spacing w:before="0" w:after="0" w:line="264" w:lineRule="auto"/>
            </w:pPr>
            <w:r/>
            <w:r>
              <w:rPr>
                <w:rFonts w:ascii="Times New Roman" w:hAnsi="Times New Roman"/>
                <w:b w:val="0"/>
                <w:i w:val="0"/>
                <w:sz w:val="20"/>
              </w:rPr>
              <w:t>1.02</w:t>
            </w:r>
          </w:p>
        </w:tc>
        <w:tc>
          <w:tcPr>
            <w:tcW w:type="dxa" w:w="1045"/>
            <w:vAlign w:val="center"/>
          </w:tcPr>
          <w:p>
            <w:pPr>
              <w:spacing w:before="0" w:after="0" w:line="264" w:lineRule="auto"/>
            </w:pPr>
            <w:r/>
            <w:r>
              <w:rPr>
                <w:rFonts w:ascii="Times New Roman" w:hAnsi="Times New Roman"/>
                <w:b w:val="0"/>
                <w:i w:val="0"/>
                <w:sz w:val="20"/>
              </w:rPr>
              <w:t>0.42</w:t>
            </w:r>
          </w:p>
        </w:tc>
        <w:tc>
          <w:tcPr>
            <w:tcW w:type="dxa" w:w="1045"/>
            <w:vAlign w:val="center"/>
          </w:tcPr>
          <w:p>
            <w:pPr>
              <w:spacing w:before="0" w:after="0" w:line="264" w:lineRule="auto"/>
            </w:pPr>
            <w:r/>
            <w:r>
              <w:rPr>
                <w:rFonts w:ascii="Times New Roman" w:hAnsi="Times New Roman"/>
                <w:b w:val="0"/>
                <w:i w:val="0"/>
                <w:sz w:val="20"/>
              </w:rPr>
              <w:t>2.5</w:t>
            </w:r>
          </w:p>
        </w:tc>
        <w:tc>
          <w:tcPr>
            <w:tcW w:type="dxa" w:w="1045"/>
            <w:vAlign w:val="center"/>
          </w:tcPr>
          <w:p>
            <w:pPr>
              <w:spacing w:before="0" w:after="0" w:line="264" w:lineRule="auto"/>
            </w:pPr>
            <w:r/>
            <w:r>
              <w:rPr>
                <w:rFonts w:ascii="Times New Roman" w:hAnsi="Times New Roman"/>
                <w:b w:val="0"/>
                <w:i w:val="0"/>
                <w:sz w:val="20"/>
              </w:rPr>
              <w:t>0.965</w:t>
            </w:r>
          </w:p>
        </w:tc>
        <w:tc>
          <w:tcPr>
            <w:tcW w:type="dxa" w:w="1045"/>
            <w:vAlign w:val="center"/>
          </w:tcPr>
          <w:p>
            <w:pPr>
              <w:spacing w:before="0" w:after="0" w:line="264" w:lineRule="auto"/>
            </w:pPr>
            <w:r/>
            <w:r>
              <w:rPr>
                <w:rFonts w:ascii="Times New Roman" w:hAnsi="Times New Roman"/>
                <w:b w:val="0"/>
                <w:i w:val="0"/>
                <w:sz w:val="20"/>
              </w:rPr>
              <w:t>0.817</w:t>
            </w:r>
          </w:p>
        </w:tc>
      </w:tr>
      <w:tr>
        <w:tc>
          <w:tcPr>
            <w:tcW w:type="dxa" w:w="1045"/>
            <w:vAlign w:val="center"/>
          </w:tcPr>
          <w:p>
            <w:pPr>
              <w:spacing w:before="0" w:after="0" w:line="264" w:lineRule="auto"/>
            </w:pPr>
            <w:r/>
            <w:r>
              <w:rPr>
                <w:rFonts w:ascii="Times New Roman" w:hAnsi="Times New Roman"/>
                <w:b w:val="0"/>
                <w:i w:val="0"/>
                <w:sz w:val="20"/>
              </w:rPr>
              <w:t>ctDNA-JLCM + Lugano_D14 (OS)</w:t>
            </w:r>
          </w:p>
        </w:tc>
        <w:tc>
          <w:tcPr>
            <w:tcW w:type="dxa" w:w="1045"/>
            <w:vAlign w:val="center"/>
          </w:tcPr>
          <w:p>
            <w:pPr>
              <w:spacing w:before="0" w:after="0" w:line="264" w:lineRule="auto"/>
            </w:pPr>
            <w:r/>
            <w:r>
              <w:rPr>
                <w:rFonts w:ascii="Times New Roman" w:hAnsi="Times New Roman"/>
                <w:b w:val="0"/>
                <w:i w:val="0"/>
                <w:sz w:val="20"/>
              </w:rPr>
              <w:t>JLCM-ctDNA high-risk</w:t>
            </w:r>
          </w:p>
        </w:tc>
        <w:tc>
          <w:tcPr>
            <w:tcW w:type="dxa" w:w="1045"/>
            <w:vAlign w:val="center"/>
          </w:tcPr>
          <w:p>
            <w:pPr>
              <w:spacing w:before="0" w:after="0" w:line="264" w:lineRule="auto"/>
            </w:pPr>
            <w:r/>
            <w:r>
              <w:rPr>
                <w:rFonts w:ascii="Times New Roman" w:hAnsi="Times New Roman"/>
                <w:b w:val="0"/>
                <w:i w:val="0"/>
                <w:sz w:val="20"/>
              </w:rPr>
              <w:t>38</w:t>
            </w:r>
          </w:p>
        </w:tc>
        <w:tc>
          <w:tcPr>
            <w:tcW w:type="dxa" w:w="1045"/>
            <w:vAlign w:val="center"/>
          </w:tcPr>
          <w:p>
            <w:pPr>
              <w:spacing w:before="0" w:after="0" w:line="264" w:lineRule="auto"/>
            </w:pPr>
            <w:r/>
            <w:r>
              <w:rPr>
                <w:rFonts w:ascii="Times New Roman" w:hAnsi="Times New Roman"/>
                <w:b w:val="0"/>
                <w:i w:val="0"/>
                <w:sz w:val="20"/>
              </w:rPr>
              <w:t>17</w:t>
            </w:r>
          </w:p>
        </w:tc>
        <w:tc>
          <w:tcPr>
            <w:tcW w:type="dxa" w:w="1045"/>
            <w:vAlign w:val="center"/>
          </w:tcPr>
          <w:p>
            <w:pPr>
              <w:spacing w:before="0" w:after="0" w:line="264" w:lineRule="auto"/>
            </w:pPr>
            <w:r/>
            <w:r>
              <w:rPr>
                <w:rFonts w:ascii="Times New Roman" w:hAnsi="Times New Roman"/>
                <w:b w:val="0"/>
                <w:i w:val="0"/>
                <w:sz w:val="20"/>
              </w:rPr>
              <w:t>31.6</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243.59</w:t>
            </w:r>
          </w:p>
        </w:tc>
        <w:tc>
          <w:tcPr>
            <w:tcW w:type="dxa" w:w="1045"/>
            <w:vAlign w:val="center"/>
          </w:tcPr>
          <w:p>
            <w:pPr>
              <w:spacing w:before="0" w:after="0" w:line="264" w:lineRule="auto"/>
            </w:pPr>
            <w:r/>
            <w:r>
              <w:rPr>
                <w:rFonts w:ascii="Times New Roman" w:hAnsi="Times New Roman"/>
                <w:b w:val="0"/>
                <w:i w:val="0"/>
                <w:sz w:val="20"/>
              </w:rPr>
              <w:t>0.000921</w:t>
            </w:r>
          </w:p>
        </w:tc>
        <w:tc>
          <w:tcPr>
            <w:tcW w:type="dxa" w:w="1045"/>
            <w:vAlign w:val="center"/>
          </w:tcPr>
          <w:p>
            <w:pPr>
              <w:spacing w:before="0" w:after="0" w:line="264" w:lineRule="auto"/>
            </w:pPr>
            <w:r/>
            <w:r>
              <w:rPr>
                <w:rFonts w:ascii="Times New Roman" w:hAnsi="Times New Roman"/>
                <w:b w:val="0"/>
                <w:i w:val="0"/>
                <w:sz w:val="20"/>
              </w:rPr>
              <w:t>0.802</w:t>
            </w:r>
          </w:p>
        </w:tc>
      </w:tr>
      <w:tr>
        <w:tc>
          <w:tcPr>
            <w:tcW w:type="dxa" w:w="1045"/>
            <w:vAlign w:val="center"/>
          </w:tcPr>
          <w:p>
            <w:pPr>
              <w:spacing w:before="0" w:after="0" w:line="264" w:lineRule="auto"/>
            </w:pPr>
            <w:r/>
            <w:r>
              <w:rPr>
                <w:rFonts w:ascii="Times New Roman" w:hAnsi="Times New Roman"/>
                <w:b w:val="0"/>
                <w:i w:val="0"/>
                <w:sz w:val="20"/>
              </w:rPr>
              <w:t>ctDNA-JLCM + Lugano_D14 (OS)</w:t>
            </w:r>
          </w:p>
        </w:tc>
        <w:tc>
          <w:tcPr>
            <w:tcW w:type="dxa" w:w="1045"/>
            <w:vAlign w:val="center"/>
          </w:tcPr>
          <w:p>
            <w:pPr>
              <w:spacing w:before="0" w:after="0" w:line="264" w:lineRule="auto"/>
            </w:pPr>
            <w:r/>
            <w:r>
              <w:rPr>
                <w:rFonts w:ascii="Times New Roman" w:hAnsi="Times New Roman"/>
                <w:b w:val="0"/>
                <w:i w:val="0"/>
                <w:sz w:val="20"/>
              </w:rPr>
              <w:t>Lugano D14 non-CMR</w:t>
            </w:r>
          </w:p>
        </w:tc>
        <w:tc>
          <w:tcPr>
            <w:tcW w:type="dxa" w:w="1045"/>
            <w:vAlign w:val="center"/>
          </w:tcPr>
          <w:p>
            <w:pPr>
              <w:spacing w:before="0" w:after="0" w:line="264" w:lineRule="auto"/>
            </w:pPr>
            <w:r/>
            <w:r>
              <w:rPr>
                <w:rFonts w:ascii="Times New Roman" w:hAnsi="Times New Roman"/>
                <w:b w:val="0"/>
                <w:i w:val="0"/>
                <w:sz w:val="20"/>
              </w:rPr>
              <w:t>38</w:t>
            </w:r>
          </w:p>
        </w:tc>
        <w:tc>
          <w:tcPr>
            <w:tcW w:type="dxa" w:w="1045"/>
            <w:vAlign w:val="center"/>
          </w:tcPr>
          <w:p>
            <w:pPr>
              <w:spacing w:before="0" w:after="0" w:line="264" w:lineRule="auto"/>
            </w:pPr>
            <w:r/>
            <w:r>
              <w:rPr>
                <w:rFonts w:ascii="Times New Roman" w:hAnsi="Times New Roman"/>
                <w:b w:val="0"/>
                <w:i w:val="0"/>
                <w:sz w:val="20"/>
              </w:rPr>
              <w:t>17</w:t>
            </w:r>
          </w:p>
        </w:tc>
        <w:tc>
          <w:tcPr>
            <w:tcW w:type="dxa" w:w="1045"/>
            <w:vAlign w:val="center"/>
          </w:tcPr>
          <w:p>
            <w:pPr>
              <w:spacing w:before="0" w:after="0" w:line="264" w:lineRule="auto"/>
            </w:pPr>
            <w:r/>
            <w:r>
              <w:rPr>
                <w:rFonts w:ascii="Times New Roman" w:hAnsi="Times New Roman"/>
                <w:b w:val="0"/>
                <w:i w:val="0"/>
                <w:sz w:val="20"/>
              </w:rPr>
              <w:t>0.43</w:t>
            </w:r>
          </w:p>
        </w:tc>
        <w:tc>
          <w:tcPr>
            <w:tcW w:type="dxa" w:w="1045"/>
            <w:vAlign w:val="center"/>
          </w:tcPr>
          <w:p>
            <w:pPr>
              <w:spacing w:before="0" w:after="0" w:line="264" w:lineRule="auto"/>
            </w:pPr>
            <w:r/>
            <w:r>
              <w:rPr>
                <w:rFonts w:ascii="Times New Roman" w:hAnsi="Times New Roman"/>
                <w:b w:val="0"/>
                <w:i w:val="0"/>
                <w:sz w:val="20"/>
              </w:rPr>
              <w:t>0.14</w:t>
            </w:r>
          </w:p>
        </w:tc>
        <w:tc>
          <w:tcPr>
            <w:tcW w:type="dxa" w:w="1045"/>
            <w:vAlign w:val="center"/>
          </w:tcPr>
          <w:p>
            <w:pPr>
              <w:spacing w:before="0" w:after="0" w:line="264" w:lineRule="auto"/>
            </w:pPr>
            <w:r/>
            <w:r>
              <w:rPr>
                <w:rFonts w:ascii="Times New Roman" w:hAnsi="Times New Roman"/>
                <w:b w:val="0"/>
                <w:i w:val="0"/>
                <w:sz w:val="20"/>
              </w:rPr>
              <w:t>1.36</w:t>
            </w:r>
          </w:p>
        </w:tc>
        <w:tc>
          <w:tcPr>
            <w:tcW w:type="dxa" w:w="1045"/>
            <w:vAlign w:val="center"/>
          </w:tcPr>
          <w:p>
            <w:pPr>
              <w:spacing w:before="0" w:after="0" w:line="264" w:lineRule="auto"/>
            </w:pPr>
            <w:r/>
            <w:r>
              <w:rPr>
                <w:rFonts w:ascii="Times New Roman" w:hAnsi="Times New Roman"/>
                <w:b w:val="0"/>
                <w:i w:val="0"/>
                <w:sz w:val="20"/>
              </w:rPr>
              <w:t>0.15</w:t>
            </w:r>
          </w:p>
        </w:tc>
        <w:tc>
          <w:tcPr>
            <w:tcW w:type="dxa" w:w="1045"/>
            <w:vAlign w:val="center"/>
          </w:tcPr>
          <w:p>
            <w:pPr>
              <w:spacing w:before="0" w:after="0" w:line="264" w:lineRule="auto"/>
            </w:pPr>
            <w:r/>
            <w:r>
              <w:rPr>
                <w:rFonts w:ascii="Times New Roman" w:hAnsi="Times New Roman"/>
                <w:b w:val="0"/>
                <w:i w:val="0"/>
                <w:sz w:val="20"/>
              </w:rPr>
              <w:t>0.802</w:t>
            </w:r>
          </w:p>
        </w:tc>
      </w:tr>
      <w:tr>
        <w:tc>
          <w:tcPr>
            <w:tcW w:type="dxa" w:w="1045"/>
            <w:vAlign w:val="center"/>
          </w:tcPr>
          <w:p>
            <w:pPr>
              <w:spacing w:before="0" w:after="0" w:line="264" w:lineRule="auto"/>
            </w:pPr>
            <w:r/>
            <w:r>
              <w:rPr>
                <w:rFonts w:ascii="Times New Roman" w:hAnsi="Times New Roman"/>
                <w:b w:val="0"/>
                <w:i w:val="0"/>
                <w:sz w:val="20"/>
              </w:rPr>
              <w:t>ctDNA-JLCM + JLCM-Deauville (EFS)</w:t>
            </w:r>
          </w:p>
        </w:tc>
        <w:tc>
          <w:tcPr>
            <w:tcW w:type="dxa" w:w="1045"/>
            <w:vAlign w:val="center"/>
          </w:tcPr>
          <w:p>
            <w:pPr>
              <w:spacing w:before="0" w:after="0" w:line="264" w:lineRule="auto"/>
            </w:pPr>
            <w:r/>
            <w:r>
              <w:rPr>
                <w:rFonts w:ascii="Times New Roman" w:hAnsi="Times New Roman"/>
                <w:b w:val="0"/>
                <w:i w:val="0"/>
                <w:sz w:val="20"/>
              </w:rPr>
              <w:t>JLCM-ctDNA high-risk</w:t>
            </w:r>
          </w:p>
        </w:tc>
        <w:tc>
          <w:tcPr>
            <w:tcW w:type="dxa" w:w="1045"/>
            <w:vAlign w:val="center"/>
          </w:tcPr>
          <w:p>
            <w:pPr>
              <w:spacing w:before="0" w:after="0" w:line="264" w:lineRule="auto"/>
            </w:pPr>
            <w:r/>
            <w:r>
              <w:rPr>
                <w:rFonts w:ascii="Times New Roman" w:hAnsi="Times New Roman"/>
                <w:b w:val="0"/>
                <w:i w:val="0"/>
                <w:sz w:val="20"/>
              </w:rPr>
              <w:t>44</w:t>
            </w:r>
          </w:p>
        </w:tc>
        <w:tc>
          <w:tcPr>
            <w:tcW w:type="dxa" w:w="1045"/>
            <w:vAlign w:val="center"/>
          </w:tcPr>
          <w:p>
            <w:pPr>
              <w:spacing w:before="0" w:after="0" w:line="264" w:lineRule="auto"/>
            </w:pPr>
            <w:r/>
            <w:r>
              <w:rPr>
                <w:rFonts w:ascii="Times New Roman" w:hAnsi="Times New Roman"/>
                <w:b w:val="0"/>
                <w:i w:val="0"/>
                <w:sz w:val="20"/>
              </w:rPr>
              <w:t>25</w:t>
            </w:r>
          </w:p>
        </w:tc>
        <w:tc>
          <w:tcPr>
            <w:tcW w:type="dxa" w:w="1045"/>
            <w:vAlign w:val="center"/>
          </w:tcPr>
          <w:p>
            <w:pPr>
              <w:spacing w:before="0" w:after="0" w:line="264" w:lineRule="auto"/>
            </w:pPr>
            <w:r/>
            <w:r>
              <w:rPr>
                <w:rFonts w:ascii="Times New Roman" w:hAnsi="Times New Roman"/>
                <w:b w:val="0"/>
                <w:i w:val="0"/>
                <w:sz w:val="20"/>
              </w:rPr>
              <w:t>inf (separation)</w:t>
            </w:r>
          </w:p>
        </w:tc>
        <w:tc>
          <w:tcPr>
            <w:tcW w:type="dxa" w:w="1045"/>
            <w:vAlign w:val="center"/>
          </w:tcPr>
          <w:p>
            <w:pPr>
              <w:spacing w:before="0" w:after="0" w:line="264" w:lineRule="auto"/>
            </w:pPr>
            <w:r/>
            <w:r>
              <w:rPr>
                <w:rFonts w:ascii="Times New Roman" w:hAnsi="Times New Roman"/>
                <w:b w:val="0"/>
                <w:i w:val="0"/>
                <w:sz w:val="20"/>
              </w:rPr>
              <w:t>0.0</w:t>
            </w:r>
          </w:p>
        </w:tc>
        <w:tc>
          <w:tcPr>
            <w:tcW w:type="dxa" w:w="1045"/>
            <w:vAlign w:val="center"/>
          </w:tcPr>
          <w:p>
            <w:pPr>
              <w:spacing w:before="0" w:after="0" w:line="264" w:lineRule="auto"/>
            </w:pPr>
            <w:r/>
            <w:r>
              <w:rPr>
                <w:rFonts w:ascii="Times New Roman" w:hAnsi="Times New Roman"/>
                <w:b w:val="0"/>
                <w:i w:val="0"/>
                <w:sz w:val="20"/>
              </w:rPr>
              <w:t>inf</w:t>
            </w:r>
          </w:p>
        </w:tc>
        <w:tc>
          <w:tcPr>
            <w:tcW w:type="dxa" w:w="1045"/>
            <w:vAlign w:val="center"/>
          </w:tcPr>
          <w:p>
            <w:pPr>
              <w:spacing w:before="0" w:after="0" w:line="264" w:lineRule="auto"/>
            </w:pPr>
            <w:r/>
            <w:r>
              <w:rPr>
                <w:rFonts w:ascii="Times New Roman" w:hAnsi="Times New Roman"/>
                <w:b w:val="0"/>
                <w:i w:val="0"/>
                <w:sz w:val="20"/>
              </w:rPr>
              <w:t>0.997</w:t>
            </w:r>
          </w:p>
        </w:tc>
        <w:tc>
          <w:tcPr>
            <w:tcW w:type="dxa" w:w="1045"/>
            <w:vAlign w:val="center"/>
          </w:tcPr>
          <w:p>
            <w:pPr>
              <w:spacing w:before="0" w:after="0" w:line="264" w:lineRule="auto"/>
            </w:pPr>
            <w:r/>
            <w:r>
              <w:rPr>
                <w:rFonts w:ascii="Times New Roman" w:hAnsi="Times New Roman"/>
                <w:b w:val="0"/>
                <w:i w:val="0"/>
                <w:sz w:val="20"/>
              </w:rPr>
              <w:t>0.824</w:t>
            </w:r>
          </w:p>
        </w:tc>
      </w:tr>
      <w:tr>
        <w:tc>
          <w:tcPr>
            <w:tcW w:type="dxa" w:w="1045"/>
            <w:vAlign w:val="center"/>
          </w:tcPr>
          <w:p>
            <w:pPr>
              <w:spacing w:before="0" w:after="0" w:line="264" w:lineRule="auto"/>
            </w:pPr>
            <w:r/>
            <w:r>
              <w:rPr>
                <w:rFonts w:ascii="Times New Roman" w:hAnsi="Times New Roman"/>
                <w:b w:val="0"/>
                <w:i w:val="0"/>
                <w:sz w:val="20"/>
              </w:rPr>
              <w:t>ctDNA-JLCM + JLCM-Deauville (EFS)</w:t>
            </w:r>
          </w:p>
        </w:tc>
        <w:tc>
          <w:tcPr>
            <w:tcW w:type="dxa" w:w="1045"/>
            <w:vAlign w:val="center"/>
          </w:tcPr>
          <w:p>
            <w:pPr>
              <w:spacing w:before="0" w:after="0" w:line="264" w:lineRule="auto"/>
            </w:pPr>
            <w:r/>
            <w:r>
              <w:rPr>
                <w:rFonts w:ascii="Times New Roman" w:hAnsi="Times New Roman"/>
                <w:b w:val="0"/>
                <w:i w:val="0"/>
                <w:sz w:val="20"/>
              </w:rPr>
              <w:t>JLCM-Deauville high-risk</w:t>
            </w:r>
          </w:p>
        </w:tc>
        <w:tc>
          <w:tcPr>
            <w:tcW w:type="dxa" w:w="1045"/>
            <w:vAlign w:val="center"/>
          </w:tcPr>
          <w:p>
            <w:pPr>
              <w:spacing w:before="0" w:after="0" w:line="264" w:lineRule="auto"/>
            </w:pPr>
            <w:r/>
            <w:r>
              <w:rPr>
                <w:rFonts w:ascii="Times New Roman" w:hAnsi="Times New Roman"/>
                <w:b w:val="0"/>
                <w:i w:val="0"/>
                <w:sz w:val="20"/>
              </w:rPr>
              <w:t>44</w:t>
            </w:r>
          </w:p>
        </w:tc>
        <w:tc>
          <w:tcPr>
            <w:tcW w:type="dxa" w:w="1045"/>
            <w:vAlign w:val="center"/>
          </w:tcPr>
          <w:p>
            <w:pPr>
              <w:spacing w:before="0" w:after="0" w:line="264" w:lineRule="auto"/>
            </w:pPr>
            <w:r/>
            <w:r>
              <w:rPr>
                <w:rFonts w:ascii="Times New Roman" w:hAnsi="Times New Roman"/>
                <w:b w:val="0"/>
                <w:i w:val="0"/>
                <w:sz w:val="20"/>
              </w:rPr>
              <w:t>25</w:t>
            </w:r>
          </w:p>
        </w:tc>
        <w:tc>
          <w:tcPr>
            <w:tcW w:type="dxa" w:w="1045"/>
            <w:vAlign w:val="center"/>
          </w:tcPr>
          <w:p>
            <w:pPr>
              <w:spacing w:before="0" w:after="0" w:line="264" w:lineRule="auto"/>
            </w:pPr>
            <w:r/>
            <w:r>
              <w:rPr>
                <w:rFonts w:ascii="Times New Roman" w:hAnsi="Times New Roman"/>
                <w:b w:val="0"/>
                <w:i w:val="0"/>
                <w:sz w:val="20"/>
              </w:rPr>
              <w:t>1.11</w:t>
            </w:r>
          </w:p>
        </w:tc>
        <w:tc>
          <w:tcPr>
            <w:tcW w:type="dxa" w:w="1045"/>
            <w:vAlign w:val="center"/>
          </w:tcPr>
          <w:p>
            <w:pPr>
              <w:spacing w:before="0" w:after="0" w:line="264" w:lineRule="auto"/>
            </w:pPr>
            <w:r/>
            <w:r>
              <w:rPr>
                <w:rFonts w:ascii="Times New Roman" w:hAnsi="Times New Roman"/>
                <w:b w:val="0"/>
                <w:i w:val="0"/>
                <w:sz w:val="20"/>
              </w:rPr>
              <w:t>0.45</w:t>
            </w:r>
          </w:p>
        </w:tc>
        <w:tc>
          <w:tcPr>
            <w:tcW w:type="dxa" w:w="1045"/>
            <w:vAlign w:val="center"/>
          </w:tcPr>
          <w:p>
            <w:pPr>
              <w:spacing w:before="0" w:after="0" w:line="264" w:lineRule="auto"/>
            </w:pPr>
            <w:r/>
            <w:r>
              <w:rPr>
                <w:rFonts w:ascii="Times New Roman" w:hAnsi="Times New Roman"/>
                <w:b w:val="0"/>
                <w:i w:val="0"/>
                <w:sz w:val="20"/>
              </w:rPr>
              <w:t>2.71</w:t>
            </w:r>
          </w:p>
        </w:tc>
        <w:tc>
          <w:tcPr>
            <w:tcW w:type="dxa" w:w="1045"/>
            <w:vAlign w:val="center"/>
          </w:tcPr>
          <w:p>
            <w:pPr>
              <w:spacing w:before="0" w:after="0" w:line="264" w:lineRule="auto"/>
            </w:pPr>
            <w:r/>
            <w:r>
              <w:rPr>
                <w:rFonts w:ascii="Times New Roman" w:hAnsi="Times New Roman"/>
                <w:b w:val="0"/>
                <w:i w:val="0"/>
                <w:sz w:val="20"/>
              </w:rPr>
              <w:t>0.827</w:t>
            </w:r>
          </w:p>
        </w:tc>
        <w:tc>
          <w:tcPr>
            <w:tcW w:type="dxa" w:w="1045"/>
            <w:vAlign w:val="center"/>
          </w:tcPr>
          <w:p>
            <w:pPr>
              <w:spacing w:before="0" w:after="0" w:line="264" w:lineRule="auto"/>
            </w:pPr>
            <w:r/>
            <w:r>
              <w:rPr>
                <w:rFonts w:ascii="Times New Roman" w:hAnsi="Times New Roman"/>
                <w:b w:val="0"/>
                <w:i w:val="0"/>
                <w:sz w:val="20"/>
              </w:rPr>
              <w:t>0.824</w:t>
            </w:r>
          </w:p>
        </w:tc>
      </w:tr>
      <w:tr>
        <w:tc>
          <w:tcPr>
            <w:tcW w:type="dxa" w:w="1045"/>
            <w:vAlign w:val="center"/>
          </w:tcPr>
          <w:p>
            <w:pPr>
              <w:spacing w:before="0" w:after="0" w:line="264" w:lineRule="auto"/>
            </w:pPr>
            <w:r/>
            <w:r>
              <w:rPr>
                <w:rFonts w:ascii="Times New Roman" w:hAnsi="Times New Roman"/>
                <w:b w:val="0"/>
                <w:i w:val="0"/>
                <w:sz w:val="20"/>
              </w:rPr>
              <w:t>ctDNA-JLCM + JLCM-Deauville (OS)</w:t>
            </w:r>
          </w:p>
        </w:tc>
        <w:tc>
          <w:tcPr>
            <w:tcW w:type="dxa" w:w="1045"/>
            <w:vAlign w:val="center"/>
          </w:tcPr>
          <w:p>
            <w:pPr>
              <w:spacing w:before="0" w:after="0" w:line="264" w:lineRule="auto"/>
            </w:pPr>
            <w:r/>
            <w:r>
              <w:rPr>
                <w:rFonts w:ascii="Times New Roman" w:hAnsi="Times New Roman"/>
                <w:b w:val="0"/>
                <w:i w:val="0"/>
                <w:sz w:val="20"/>
              </w:rPr>
              <w:t>JLCM-ctDNA high-risk</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17</w:t>
            </w:r>
          </w:p>
        </w:tc>
        <w:tc>
          <w:tcPr>
            <w:tcW w:type="dxa" w:w="1045"/>
            <w:vAlign w:val="center"/>
          </w:tcPr>
          <w:p>
            <w:pPr>
              <w:spacing w:before="0" w:after="0" w:line="264" w:lineRule="auto"/>
            </w:pPr>
            <w:r/>
            <w:r>
              <w:rPr>
                <w:rFonts w:ascii="Times New Roman" w:hAnsi="Times New Roman"/>
                <w:b w:val="0"/>
                <w:i w:val="0"/>
                <w:sz w:val="20"/>
              </w:rPr>
              <w:t>40.71</w:t>
            </w:r>
          </w:p>
        </w:tc>
        <w:tc>
          <w:tcPr>
            <w:tcW w:type="dxa" w:w="1045"/>
            <w:vAlign w:val="center"/>
          </w:tcPr>
          <w:p>
            <w:pPr>
              <w:spacing w:before="0" w:after="0" w:line="264" w:lineRule="auto"/>
            </w:pPr>
            <w:r/>
            <w:r>
              <w:rPr>
                <w:rFonts w:ascii="Times New Roman" w:hAnsi="Times New Roman"/>
                <w:b w:val="0"/>
                <w:i w:val="0"/>
                <w:sz w:val="20"/>
              </w:rPr>
              <w:t>5.22</w:t>
            </w:r>
          </w:p>
        </w:tc>
        <w:tc>
          <w:tcPr>
            <w:tcW w:type="dxa" w:w="1045"/>
            <w:vAlign w:val="center"/>
          </w:tcPr>
          <w:p>
            <w:pPr>
              <w:spacing w:before="0" w:after="0" w:line="264" w:lineRule="auto"/>
            </w:pPr>
            <w:r/>
            <w:r>
              <w:rPr>
                <w:rFonts w:ascii="Times New Roman" w:hAnsi="Times New Roman"/>
                <w:b w:val="0"/>
                <w:i w:val="0"/>
                <w:sz w:val="20"/>
              </w:rPr>
              <w:t>317.45</w:t>
            </w:r>
          </w:p>
        </w:tc>
        <w:tc>
          <w:tcPr>
            <w:tcW w:type="dxa" w:w="1045"/>
            <w:vAlign w:val="center"/>
          </w:tcPr>
          <w:p>
            <w:pPr>
              <w:spacing w:before="0" w:after="0" w:line="264" w:lineRule="auto"/>
            </w:pPr>
            <w:r/>
            <w:r>
              <w:rPr>
                <w:rFonts w:ascii="Times New Roman" w:hAnsi="Times New Roman"/>
                <w:b w:val="0"/>
                <w:i w:val="0"/>
                <w:sz w:val="20"/>
              </w:rPr>
              <w:t>0.000405</w:t>
            </w:r>
          </w:p>
        </w:tc>
        <w:tc>
          <w:tcPr>
            <w:tcW w:type="dxa" w:w="1045"/>
            <w:vAlign w:val="center"/>
          </w:tcPr>
          <w:p>
            <w:pPr>
              <w:spacing w:before="0" w:after="0" w:line="264" w:lineRule="auto"/>
            </w:pPr>
            <w:r/>
            <w:r>
              <w:rPr>
                <w:rFonts w:ascii="Times New Roman" w:hAnsi="Times New Roman"/>
                <w:b w:val="0"/>
                <w:i w:val="0"/>
                <w:sz w:val="20"/>
              </w:rPr>
              <w:t>0.827</w:t>
            </w:r>
          </w:p>
        </w:tc>
      </w:tr>
      <w:tr>
        <w:tc>
          <w:tcPr>
            <w:tcW w:type="dxa" w:w="1045"/>
            <w:vAlign w:val="center"/>
          </w:tcPr>
          <w:p>
            <w:pPr>
              <w:spacing w:before="0" w:after="0" w:line="264" w:lineRule="auto"/>
            </w:pPr>
            <w:r/>
            <w:r>
              <w:rPr>
                <w:rFonts w:ascii="Times New Roman" w:hAnsi="Times New Roman"/>
                <w:b w:val="0"/>
                <w:i w:val="0"/>
                <w:sz w:val="20"/>
              </w:rPr>
              <w:t>ctDNA-JLCM + JLCM-Deauville (OS)</w:t>
            </w:r>
          </w:p>
        </w:tc>
        <w:tc>
          <w:tcPr>
            <w:tcW w:type="dxa" w:w="1045"/>
            <w:vAlign w:val="center"/>
          </w:tcPr>
          <w:p>
            <w:pPr>
              <w:spacing w:before="0" w:after="0" w:line="264" w:lineRule="auto"/>
            </w:pPr>
            <w:r/>
            <w:r>
              <w:rPr>
                <w:rFonts w:ascii="Times New Roman" w:hAnsi="Times New Roman"/>
                <w:b w:val="0"/>
                <w:i w:val="0"/>
                <w:sz w:val="20"/>
              </w:rPr>
              <w:t>JLCM-Deauville high-risk (artefactual; see footnote)</w:t>
            </w:r>
          </w:p>
        </w:tc>
        <w:tc>
          <w:tcPr>
            <w:tcW w:type="dxa" w:w="1045"/>
            <w:vAlign w:val="center"/>
          </w:tcPr>
          <w:p>
            <w:pPr>
              <w:spacing w:before="0" w:after="0" w:line="264" w:lineRule="auto"/>
            </w:pPr>
            <w:r/>
            <w:r>
              <w:rPr>
                <w:rFonts w:ascii="Times New Roman" w:hAnsi="Times New Roman"/>
                <w:b w:val="0"/>
                <w:i w:val="0"/>
                <w:sz w:val="20"/>
              </w:rPr>
              <w:t>41</w:t>
            </w:r>
          </w:p>
        </w:tc>
        <w:tc>
          <w:tcPr>
            <w:tcW w:type="dxa" w:w="1045"/>
            <w:vAlign w:val="center"/>
          </w:tcPr>
          <w:p>
            <w:pPr>
              <w:spacing w:before="0" w:after="0" w:line="264" w:lineRule="auto"/>
            </w:pPr>
            <w:r/>
            <w:r>
              <w:rPr>
                <w:rFonts w:ascii="Times New Roman" w:hAnsi="Times New Roman"/>
                <w:b w:val="0"/>
                <w:i w:val="0"/>
                <w:sz w:val="20"/>
              </w:rPr>
              <w:t>17</w:t>
            </w:r>
          </w:p>
        </w:tc>
        <w:tc>
          <w:tcPr>
            <w:tcW w:type="dxa" w:w="1045"/>
            <w:vAlign w:val="center"/>
          </w:tcPr>
          <w:p>
            <w:pPr>
              <w:spacing w:before="0" w:after="0" w:line="264" w:lineRule="auto"/>
            </w:pPr>
            <w:r/>
            <w:r>
              <w:rPr>
                <w:rFonts w:ascii="Times New Roman" w:hAnsi="Times New Roman"/>
                <w:b w:val="0"/>
                <w:i w:val="0"/>
                <w:sz w:val="20"/>
              </w:rPr>
              <w:t>0.27</w:t>
            </w:r>
          </w:p>
        </w:tc>
        <w:tc>
          <w:tcPr>
            <w:tcW w:type="dxa" w:w="1045"/>
            <w:vAlign w:val="center"/>
          </w:tcPr>
          <w:p>
            <w:pPr>
              <w:spacing w:before="0" w:after="0" w:line="264" w:lineRule="auto"/>
            </w:pPr>
            <w:r/>
            <w:r>
              <w:rPr>
                <w:rFonts w:ascii="Times New Roman" w:hAnsi="Times New Roman"/>
                <w:b w:val="0"/>
                <w:i w:val="0"/>
                <w:sz w:val="20"/>
              </w:rPr>
              <w:t>0.07</w:t>
            </w:r>
          </w:p>
        </w:tc>
        <w:tc>
          <w:tcPr>
            <w:tcW w:type="dxa" w:w="1045"/>
            <w:vAlign w:val="center"/>
          </w:tcPr>
          <w:p>
            <w:pPr>
              <w:spacing w:before="0" w:after="0" w:line="264" w:lineRule="auto"/>
            </w:pPr>
            <w:r/>
            <w:r>
              <w:rPr>
                <w:rFonts w:ascii="Times New Roman" w:hAnsi="Times New Roman"/>
                <w:b w:val="0"/>
                <w:i w:val="0"/>
                <w:sz w:val="20"/>
              </w:rPr>
              <w:t>0.97</w:t>
            </w:r>
          </w:p>
        </w:tc>
        <w:tc>
          <w:tcPr>
            <w:tcW w:type="dxa" w:w="1045"/>
            <w:vAlign w:val="center"/>
          </w:tcPr>
          <w:p>
            <w:pPr>
              <w:spacing w:before="0" w:after="0" w:line="264" w:lineRule="auto"/>
            </w:pPr>
            <w:r/>
            <w:r>
              <w:rPr>
                <w:rFonts w:ascii="Times New Roman" w:hAnsi="Times New Roman"/>
                <w:b w:val="0"/>
                <w:i w:val="0"/>
                <w:sz w:val="20"/>
              </w:rPr>
              <w:t>0.0445</w:t>
            </w:r>
          </w:p>
        </w:tc>
        <w:tc>
          <w:tcPr>
            <w:tcW w:type="dxa" w:w="1045"/>
            <w:vAlign w:val="center"/>
          </w:tcPr>
          <w:p>
            <w:pPr>
              <w:spacing w:before="0" w:after="0" w:line="264" w:lineRule="auto"/>
            </w:pPr>
            <w:r/>
            <w:r>
              <w:rPr>
                <w:rFonts w:ascii="Times New Roman" w:hAnsi="Times New Roman"/>
                <w:b w:val="0"/>
                <w:i w:val="0"/>
                <w:sz w:val="20"/>
              </w:rPr>
              <w:t>0.827</w:t>
            </w:r>
          </w:p>
        </w:tc>
      </w:tr>
    </w:tbl>
    <w:p>
      <w:pPr>
        <w:spacing w:after="120"/>
      </w:pPr>
    </w:p>
    <w:p>
      <w:pPr>
        <w:spacing w:before="0" w:after="120" w:line="312" w:lineRule="auto"/>
        <w:jc w:val="both"/>
      </w:pPr>
      <w:r>
        <w:rPr>
          <w:rFonts w:ascii="Times New Roman" w:hAnsi="Times New Roman"/>
          <w:b w:val="0"/>
          <w:i w:val="0"/>
          <w:sz w:val="21"/>
        </w:rPr>
        <w:t>Per-covariate HR (95% CI), P value, and C-index in bivariable models. All PET covariates lost EFS significance after adjustment for the day-14 JLCM-ctDNA class. Footnote: The apparent protective effect of high-risk JLCM-Deauville class in the bivariate OS model (HR, 0.27; 95% CI, 0.07-0.97; P = .044) is most likely artefactual, arising from the strong inverse correlation with JLCM-ctDNA (κ = 0.14 with reversed marginal distributions: only 7 of 22 ctDNA-high-risk patients were also JLCM-Deauville high-risk) and from the small number of OS events (n = 17) in this subset. This signal should not be interpreted as a true biological protective effect of PET-derived high-risk classification; it is preserved here for transparency.</w:t>
      </w:r>
    </w:p>
    <w:p>
      <w:pPr>
        <w:keepNext/>
        <w:spacing w:before="200" w:after="120" w:line="288" w:lineRule="auto"/>
      </w:pPr>
      <w:r>
        <w:rPr>
          <w:rFonts w:ascii="Times New Roman" w:hAnsi="Times New Roman"/>
          <w:b/>
          <w:i/>
          <w:sz w:val="26"/>
        </w:rPr>
        <w:t>Supplemental Table S14. JLCM seed-initialization stability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vAlign w:val="center"/>
            <w:shd w:val="clear" w:color="auto" w:fill="E7E6E6"/>
          </w:tcPr>
          <w:p>
            <w:pPr>
              <w:spacing w:before="0" w:after="0" w:line="264" w:lineRule="auto"/>
            </w:pPr>
            <w:r/>
            <w:r>
              <w:rPr>
                <w:rFonts w:ascii="Times New Roman" w:hAnsi="Times New Roman"/>
                <w:b/>
                <w:i w:val="0"/>
                <w:sz w:val="20"/>
              </w:rPr>
              <w:t>Subset</w:t>
            </w:r>
          </w:p>
        </w:tc>
        <w:tc>
          <w:tcPr>
            <w:tcW w:type="dxa" w:w="1881"/>
            <w:vAlign w:val="center"/>
            <w:shd w:val="clear" w:color="auto" w:fill="E7E6E6"/>
          </w:tcPr>
          <w:p>
            <w:pPr>
              <w:spacing w:before="0" w:after="0" w:line="264" w:lineRule="auto"/>
            </w:pPr>
            <w:r/>
            <w:r>
              <w:rPr>
                <w:rFonts w:ascii="Times New Roman" w:hAnsi="Times New Roman"/>
                <w:b/>
                <w:i w:val="0"/>
                <w:sz w:val="20"/>
              </w:rPr>
              <w:t>n seeds</w:t>
            </w:r>
          </w:p>
        </w:tc>
        <w:tc>
          <w:tcPr>
            <w:tcW w:type="dxa" w:w="1881"/>
            <w:vAlign w:val="center"/>
            <w:shd w:val="clear" w:color="auto" w:fill="E7E6E6"/>
          </w:tcPr>
          <w:p>
            <w:pPr>
              <w:spacing w:before="0" w:after="0" w:line="264" w:lineRule="auto"/>
            </w:pPr>
            <w:r/>
            <w:r>
              <w:rPr>
                <w:rFonts w:ascii="Times New Roman" w:hAnsi="Times New Roman"/>
                <w:b/>
                <w:i w:val="0"/>
                <w:sz w:val="20"/>
              </w:rPr>
              <w:t>Median concordance (%)</w:t>
            </w:r>
          </w:p>
        </w:tc>
        <w:tc>
          <w:tcPr>
            <w:tcW w:type="dxa" w:w="1881"/>
            <w:vAlign w:val="center"/>
            <w:shd w:val="clear" w:color="auto" w:fill="E7E6E6"/>
          </w:tcPr>
          <w:p>
            <w:pPr>
              <w:spacing w:before="0" w:after="0" w:line="264" w:lineRule="auto"/>
            </w:pPr>
            <w:r/>
            <w:r>
              <w:rPr>
                <w:rFonts w:ascii="Times New Roman" w:hAnsi="Times New Roman"/>
                <w:b/>
                <w:i w:val="0"/>
                <w:sz w:val="20"/>
              </w:rPr>
              <w:t>Min (%)</w:t>
            </w:r>
          </w:p>
        </w:tc>
        <w:tc>
          <w:tcPr>
            <w:tcW w:type="dxa" w:w="1881"/>
            <w:vAlign w:val="center"/>
            <w:shd w:val="clear" w:color="auto" w:fill="E7E6E6"/>
          </w:tcPr>
          <w:p>
            <w:pPr>
              <w:spacing w:before="0" w:after="0" w:line="264" w:lineRule="auto"/>
            </w:pPr>
            <w:r/>
            <w:r>
              <w:rPr>
                <w:rFonts w:ascii="Times New Roman" w:hAnsi="Times New Roman"/>
                <w:b/>
                <w:i w:val="0"/>
                <w:sz w:val="20"/>
              </w:rPr>
              <w:t>Max (%)</w:t>
            </w:r>
          </w:p>
        </w:tc>
      </w:tr>
      <w:tr>
        <w:tc>
          <w:tcPr>
            <w:tcW w:type="dxa" w:w="1881"/>
            <w:vAlign w:val="center"/>
          </w:tcPr>
          <w:p>
            <w:pPr>
              <w:spacing w:before="0" w:after="0" w:line="264" w:lineRule="auto"/>
            </w:pPr>
            <w:r/>
            <w:r>
              <w:rPr>
                <w:rFonts w:ascii="Times New Roman" w:hAnsi="Times New Roman"/>
                <w:b w:val="0"/>
                <w:i w:val="0"/>
                <w:sz w:val="20"/>
              </w:rPr>
              <w:t>Seeds with BIC within 5 units of minimum</w:t>
            </w:r>
          </w:p>
        </w:tc>
        <w:tc>
          <w:tcPr>
            <w:tcW w:type="dxa" w:w="1881"/>
            <w:vAlign w:val="center"/>
          </w:tcPr>
          <w:p>
            <w:pPr>
              <w:spacing w:before="0" w:after="0" w:line="264" w:lineRule="auto"/>
            </w:pPr>
            <w:r/>
            <w:r>
              <w:rPr>
                <w:rFonts w:ascii="Times New Roman" w:hAnsi="Times New Roman"/>
                <w:b w:val="0"/>
                <w:i w:val="0"/>
                <w:sz w:val="20"/>
              </w:rPr>
              <w:t>12/20</w:t>
            </w:r>
          </w:p>
        </w:tc>
        <w:tc>
          <w:tcPr>
            <w:tcW w:type="dxa" w:w="1881"/>
            <w:vAlign w:val="center"/>
          </w:tcPr>
          <w:p>
            <w:pPr>
              <w:spacing w:before="0" w:after="0" w:line="264" w:lineRule="auto"/>
            </w:pPr>
            <w:r/>
            <w:r>
              <w:rPr>
                <w:rFonts w:ascii="Times New Roman" w:hAnsi="Times New Roman"/>
                <w:b w:val="0"/>
                <w:i w:val="0"/>
                <w:sz w:val="20"/>
              </w:rPr>
              <w:t>86.0</w:t>
            </w:r>
          </w:p>
        </w:tc>
        <w:tc>
          <w:tcPr>
            <w:tcW w:type="dxa" w:w="1881"/>
            <w:vAlign w:val="center"/>
          </w:tcPr>
          <w:p>
            <w:pPr>
              <w:spacing w:before="0" w:after="0" w:line="264" w:lineRule="auto"/>
            </w:pPr>
            <w:r/>
            <w:r>
              <w:rPr>
                <w:rFonts w:ascii="Times New Roman" w:hAnsi="Times New Roman"/>
                <w:b w:val="0"/>
                <w:i w:val="0"/>
                <w:sz w:val="20"/>
              </w:rPr>
              <w:t>≥86</w:t>
            </w:r>
          </w:p>
        </w:tc>
        <w:tc>
          <w:tcPr>
            <w:tcW w:type="dxa" w:w="1881"/>
            <w:vAlign w:val="center"/>
          </w:tcPr>
          <w:p>
            <w:pPr>
              <w:spacing w:before="0" w:after="0" w:line="264" w:lineRule="auto"/>
            </w:pPr>
            <w:r/>
            <w:r>
              <w:rPr>
                <w:rFonts w:ascii="Times New Roman" w:hAnsi="Times New Roman"/>
                <w:b w:val="0"/>
                <w:i w:val="0"/>
                <w:sz w:val="20"/>
              </w:rPr>
              <w:t>100.0</w:t>
            </w:r>
          </w:p>
        </w:tc>
      </w:tr>
      <w:tr>
        <w:tc>
          <w:tcPr>
            <w:tcW w:type="dxa" w:w="1881"/>
            <w:vAlign w:val="center"/>
          </w:tcPr>
          <w:p>
            <w:pPr>
              <w:spacing w:before="0" w:after="0" w:line="264" w:lineRule="auto"/>
            </w:pPr>
            <w:r/>
            <w:r>
              <w:rPr>
                <w:rFonts w:ascii="Times New Roman" w:hAnsi="Times New Roman"/>
                <w:b w:val="0"/>
                <w:i w:val="0"/>
                <w:sz w:val="20"/>
              </w:rPr>
              <w:t>Seeds outside BIC band</w:t>
            </w:r>
          </w:p>
        </w:tc>
        <w:tc>
          <w:tcPr>
            <w:tcW w:type="dxa" w:w="1881"/>
            <w:vAlign w:val="center"/>
          </w:tcPr>
          <w:p>
            <w:pPr>
              <w:spacing w:before="0" w:after="0" w:line="264" w:lineRule="auto"/>
            </w:pPr>
            <w:r/>
            <w:r>
              <w:rPr>
                <w:rFonts w:ascii="Times New Roman" w:hAnsi="Times New Roman"/>
                <w:b w:val="0"/>
                <w:i w:val="0"/>
                <w:sz w:val="20"/>
              </w:rPr>
              <w:t>8/20</w:t>
            </w:r>
          </w:p>
        </w:tc>
        <w:tc>
          <w:tcPr>
            <w:tcW w:type="dxa" w:w="1881"/>
            <w:vAlign w:val="center"/>
          </w:tcPr>
          <w:p>
            <w:pPr>
              <w:spacing w:before="0" w:after="0" w:line="264" w:lineRule="auto"/>
            </w:pPr>
            <w:r/>
            <w:r>
              <w:rPr>
                <w:rFonts w:ascii="Times New Roman" w:hAnsi="Times New Roman"/>
                <w:b w:val="0"/>
                <w:i w:val="0"/>
                <w:sz w:val="20"/>
              </w:rPr>
              <w:t>—</w:t>
            </w:r>
          </w:p>
        </w:tc>
        <w:tc>
          <w:tcPr>
            <w:tcW w:type="dxa" w:w="1881"/>
            <w:vAlign w:val="center"/>
          </w:tcPr>
          <w:p>
            <w:pPr>
              <w:spacing w:before="0" w:after="0" w:line="264" w:lineRule="auto"/>
            </w:pPr>
            <w:r/>
            <w:r>
              <w:rPr>
                <w:rFonts w:ascii="Times New Roman" w:hAnsi="Times New Roman"/>
                <w:b w:val="0"/>
                <w:i w:val="0"/>
                <w:sz w:val="20"/>
              </w:rPr>
              <w:t>—</w:t>
            </w:r>
          </w:p>
        </w:tc>
        <w:tc>
          <w:tcPr>
            <w:tcW w:type="dxa" w:w="1881"/>
            <w:vAlign w:val="center"/>
          </w:tcPr>
          <w:p>
            <w:pPr>
              <w:spacing w:before="0" w:after="0" w:line="264" w:lineRule="auto"/>
            </w:pPr>
            <w:r/>
            <w:r>
              <w:rPr>
                <w:rFonts w:ascii="Times New Roman" w:hAnsi="Times New Roman"/>
                <w:b w:val="0"/>
                <w:i w:val="0"/>
                <w:sz w:val="20"/>
              </w:rPr>
              <w:t>—</w:t>
            </w:r>
          </w:p>
        </w:tc>
      </w:tr>
    </w:tbl>
    <w:p>
      <w:pPr>
        <w:spacing w:after="120"/>
      </w:pPr>
    </w:p>
    <w:p>
      <w:pPr>
        <w:spacing w:before="0" w:after="120" w:line="312" w:lineRule="auto"/>
        <w:jc w:val="both"/>
      </w:pPr>
      <w:r>
        <w:rPr>
          <w:rFonts w:ascii="Times New Roman" w:hAnsi="Times New Roman"/>
          <w:b w:val="0"/>
          <w:i w:val="0"/>
          <w:sz w:val="21"/>
        </w:rPr>
        <w:t xml:space="preserve">Reference seed = 123 was selected from a pre-specified grid of 20 candidate random initializations on the basis of </w:t>
      </w:r>
      <w:r>
        <w:rPr>
          <w:rFonts w:ascii="Consolas" w:hAnsi="Consolas"/>
          <w:sz w:val="21"/>
        </w:rPr>
        <w:t>predictClass</w:t>
      </w:r>
      <w:r>
        <w:rPr>
          <w:rFonts w:ascii="Times New Roman" w:hAnsi="Times New Roman"/>
          <w:b w:val="0"/>
          <w:i w:val="0"/>
          <w:sz w:val="21"/>
        </w:rPr>
        <w:t xml:space="preserve"> stability under both full and truncated trajectories (the operational criterion for a deployable classifier), with BIC as a secondary tie-breaker; the seed-123 BIC (1254.6) was within 5 BIC units of the minimum across the 12 BIC-compatible seeds. Concordance is the proportion of patients whose class assignment under the alternative seed equals the seed-123 assignment. Seeds outside the BIC band are not BIC-compatible and were not considered for survival analyses. The 86% median concordance across the 12 BIC-compatible seeds is reported as a measure of class-assignment stability and is conservative because the minimum is itself ≥86%.</w:t>
      </w:r>
    </w:p>
    <w:p>
      <w:pPr>
        <w:keepNext/>
        <w:spacing w:before="200" w:after="120" w:line="288" w:lineRule="auto"/>
      </w:pPr>
      <w:r>
        <w:rPr>
          <w:rFonts w:ascii="Times New Roman" w:hAnsi="Times New Roman"/>
          <w:b/>
          <w:i/>
          <w:sz w:val="26"/>
        </w:rPr>
        <w:t>Supplemental Table S15. Reconciliation of effective sample sizes across analytical steps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E7E6E6"/>
          </w:tcPr>
          <w:p>
            <w:pPr>
              <w:spacing w:before="0" w:after="0" w:line="264" w:lineRule="auto"/>
            </w:pPr>
            <w:r/>
            <w:r>
              <w:rPr>
                <w:rFonts w:ascii="Times New Roman" w:hAnsi="Times New Roman"/>
                <w:b/>
                <w:i w:val="0"/>
                <w:sz w:val="20"/>
              </w:rPr>
              <w:t>Step</w:t>
            </w:r>
          </w:p>
        </w:tc>
        <w:tc>
          <w:tcPr>
            <w:tcW w:type="dxa" w:w="2351"/>
            <w:vAlign w:val="center"/>
            <w:shd w:val="clear" w:color="auto" w:fill="E7E6E6"/>
          </w:tcPr>
          <w:p>
            <w:pPr>
              <w:spacing w:before="0" w:after="0" w:line="264" w:lineRule="auto"/>
            </w:pPr>
            <w:r/>
            <w:r>
              <w:rPr>
                <w:rFonts w:ascii="Times New Roman" w:hAnsi="Times New Roman"/>
                <w:b/>
                <w:i w:val="0"/>
                <w:sz w:val="20"/>
              </w:rPr>
              <w:t>n</w:t>
            </w:r>
          </w:p>
        </w:tc>
        <w:tc>
          <w:tcPr>
            <w:tcW w:type="dxa" w:w="2351"/>
            <w:vAlign w:val="center"/>
            <w:shd w:val="clear" w:color="auto" w:fill="E7E6E6"/>
          </w:tcPr>
          <w:p>
            <w:pPr>
              <w:spacing w:before="0" w:after="0" w:line="264" w:lineRule="auto"/>
            </w:pPr>
            <w:r/>
            <w:r>
              <w:rPr>
                <w:rFonts w:ascii="Times New Roman" w:hAnsi="Times New Roman"/>
                <w:b/>
                <w:i w:val="0"/>
                <w:sz w:val="20"/>
              </w:rPr>
              <w:t>Description</w:t>
            </w:r>
          </w:p>
        </w:tc>
        <w:tc>
          <w:tcPr>
            <w:tcW w:type="dxa" w:w="2351"/>
            <w:vAlign w:val="center"/>
            <w:shd w:val="clear" w:color="auto" w:fill="E7E6E6"/>
          </w:tcPr>
          <w:p>
            <w:pPr>
              <w:spacing w:before="0" w:after="0" w:line="264" w:lineRule="auto"/>
            </w:pPr>
            <w:r/>
            <w:r>
              <w:rPr>
                <w:rFonts w:ascii="Times New Roman" w:hAnsi="Times New Roman"/>
                <w:b/>
                <w:i w:val="0"/>
                <w:sz w:val="20"/>
              </w:rPr>
              <w:t>Used in</w:t>
            </w:r>
          </w:p>
        </w:tc>
      </w:tr>
      <w:tr>
        <w:tc>
          <w:tcPr>
            <w:tcW w:type="dxa" w:w="2351"/>
            <w:vAlign w:val="center"/>
          </w:tcPr>
          <w:p>
            <w:pPr>
              <w:spacing w:before="0" w:after="0" w:line="264" w:lineRule="auto"/>
            </w:pPr>
            <w:r/>
            <w:r>
              <w:rPr>
                <w:rFonts w:ascii="Times New Roman" w:hAnsi="Times New Roman"/>
                <w:b w:val="0"/>
                <w:i w:val="0"/>
                <w:sz w:val="20"/>
              </w:rPr>
              <w:t>ALYCANTE mFAS (parent FA)</w:t>
            </w:r>
          </w:p>
        </w:tc>
        <w:tc>
          <w:tcPr>
            <w:tcW w:type="dxa" w:w="2351"/>
            <w:vAlign w:val="center"/>
          </w:tcPr>
          <w:p>
            <w:pPr>
              <w:spacing w:before="0" w:after="0" w:line="264" w:lineRule="auto"/>
            </w:pPr>
            <w:r/>
            <w:r>
              <w:rPr>
                <w:rFonts w:ascii="Times New Roman" w:hAnsi="Times New Roman"/>
                <w:b w:val="0"/>
                <w:i w:val="0"/>
                <w:sz w:val="20"/>
              </w:rPr>
              <w:t>62</w:t>
            </w:r>
          </w:p>
        </w:tc>
        <w:tc>
          <w:tcPr>
            <w:tcW w:type="dxa" w:w="2351"/>
            <w:vAlign w:val="center"/>
          </w:tcPr>
          <w:p>
            <w:pPr>
              <w:spacing w:before="0" w:after="0" w:line="264" w:lineRule="auto"/>
            </w:pPr>
            <w:r/>
            <w:r>
              <w:rPr>
                <w:rFonts w:ascii="Times New Roman" w:hAnsi="Times New Roman"/>
                <w:b w:val="0"/>
                <w:i w:val="0"/>
                <w:sz w:val="20"/>
              </w:rPr>
              <w:t>All patients infused with axi-cel (modified full analysis set; Houot et al. JCO 2026)</w:t>
            </w:r>
          </w:p>
        </w:tc>
        <w:tc>
          <w:tcPr>
            <w:tcW w:type="dxa" w:w="2351"/>
            <w:vAlign w:val="center"/>
          </w:tcPr>
          <w:p>
            <w:pPr>
              <w:spacing w:before="0" w:after="0" w:line="264" w:lineRule="auto"/>
            </w:pPr>
            <w:r/>
            <w:r>
              <w:rPr>
                <w:rFonts w:ascii="Times New Roman" w:hAnsi="Times New Roman"/>
                <w:b w:val="0"/>
                <w:i w:val="0"/>
                <w:sz w:val="20"/>
              </w:rPr>
              <w:t>Reference cohort</w:t>
            </w:r>
          </w:p>
        </w:tc>
      </w:tr>
      <w:tr>
        <w:tc>
          <w:tcPr>
            <w:tcW w:type="dxa" w:w="2351"/>
            <w:vAlign w:val="center"/>
          </w:tcPr>
          <w:p>
            <w:pPr>
              <w:spacing w:before="0" w:after="0" w:line="264" w:lineRule="auto"/>
            </w:pPr>
            <w:r/>
            <w:r>
              <w:rPr>
                <w:rFonts w:ascii="Times New Roman" w:hAnsi="Times New Roman"/>
                <w:b w:val="0"/>
                <w:i w:val="0"/>
                <w:sz w:val="20"/>
              </w:rPr>
              <w:t>Excluded - missing D14 sample</w:t>
            </w:r>
          </w:p>
        </w:tc>
        <w:tc>
          <w:tcPr>
            <w:tcW w:type="dxa" w:w="2351"/>
            <w:vAlign w:val="center"/>
          </w:tcPr>
          <w:p>
            <w:pPr>
              <w:spacing w:before="0" w:after="0" w:line="264" w:lineRule="auto"/>
            </w:pPr>
            <w:r/>
            <w:r>
              <w:rPr>
                <w:rFonts w:ascii="Times New Roman" w:hAnsi="Times New Roman"/>
                <w:b w:val="0"/>
                <w:i w:val="0"/>
                <w:sz w:val="20"/>
              </w:rPr>
              <w:t>3</w:t>
            </w:r>
          </w:p>
        </w:tc>
        <w:tc>
          <w:tcPr>
            <w:tcW w:type="dxa" w:w="2351"/>
            <w:vAlign w:val="center"/>
          </w:tcPr>
          <w:p>
            <w:pPr>
              <w:spacing w:before="0" w:after="0" w:line="264" w:lineRule="auto"/>
            </w:pPr>
            <w:r/>
            <w:r>
              <w:rPr>
                <w:rFonts w:ascii="Times New Roman" w:hAnsi="Times New Roman"/>
                <w:b w:val="0"/>
                <w:i w:val="0"/>
                <w:sz w:val="20"/>
              </w:rPr>
              <w:t>No plasma available at day 14 ± 1</w:t>
            </w:r>
          </w:p>
        </w:tc>
        <w:tc>
          <w:tcPr>
            <w:tcW w:type="dxa" w:w="2351"/>
            <w:vAlign w:val="center"/>
          </w:tcPr>
          <w:p>
            <w:pPr>
              <w:spacing w:before="0" w:after="0" w:line="264" w:lineRule="auto"/>
            </w:pPr>
            <w:r/>
            <w:r>
              <w:rPr>
                <w:rFonts w:ascii="Times New Roman" w:hAnsi="Times New Roman"/>
                <w:b w:val="0"/>
                <w:i w:val="0"/>
                <w:sz w:val="20"/>
              </w:rPr>
              <w:t>—</w:t>
            </w:r>
          </w:p>
        </w:tc>
      </w:tr>
      <w:tr>
        <w:tc>
          <w:tcPr>
            <w:tcW w:type="dxa" w:w="2351"/>
            <w:vAlign w:val="center"/>
          </w:tcPr>
          <w:p>
            <w:pPr>
              <w:spacing w:before="0" w:after="0" w:line="264" w:lineRule="auto"/>
            </w:pPr>
            <w:r/>
            <w:r>
              <w:rPr>
                <w:rFonts w:ascii="Times New Roman" w:hAnsi="Times New Roman"/>
                <w:b w:val="0"/>
                <w:i w:val="0"/>
                <w:sz w:val="20"/>
              </w:rPr>
              <w:t>Excluded - sequencing failure</w:t>
            </w:r>
          </w:p>
        </w:tc>
        <w:tc>
          <w:tcPr>
            <w:tcW w:type="dxa" w:w="2351"/>
            <w:vAlign w:val="center"/>
          </w:tcPr>
          <w:p>
            <w:pPr>
              <w:spacing w:before="0" w:after="0" w:line="264" w:lineRule="auto"/>
            </w:pPr>
            <w:r/>
            <w:r>
              <w:rPr>
                <w:rFonts w:ascii="Times New Roman" w:hAnsi="Times New Roman"/>
                <w:b w:val="0"/>
                <w:i w:val="0"/>
                <w:sz w:val="20"/>
              </w:rPr>
              <w:t>2</w:t>
            </w:r>
          </w:p>
        </w:tc>
        <w:tc>
          <w:tcPr>
            <w:tcW w:type="dxa" w:w="2351"/>
            <w:vAlign w:val="center"/>
          </w:tcPr>
          <w:p>
            <w:pPr>
              <w:spacing w:before="0" w:after="0" w:line="264" w:lineRule="auto"/>
            </w:pPr>
            <w:r/>
            <w:r>
              <w:rPr>
                <w:rFonts w:ascii="Times New Roman" w:hAnsi="Times New Roman"/>
                <w:b w:val="0"/>
                <w:i w:val="0"/>
                <w:sz w:val="20"/>
              </w:rPr>
              <w:t>Technical CAPP-Seq failure at any timepoint</w:t>
            </w:r>
          </w:p>
        </w:tc>
        <w:tc>
          <w:tcPr>
            <w:tcW w:type="dxa" w:w="2351"/>
            <w:vAlign w:val="center"/>
          </w:tcPr>
          <w:p>
            <w:pPr>
              <w:spacing w:before="0" w:after="0" w:line="264" w:lineRule="auto"/>
            </w:pPr>
            <w:r/>
            <w:r>
              <w:rPr>
                <w:rFonts w:ascii="Times New Roman" w:hAnsi="Times New Roman"/>
                <w:b w:val="0"/>
                <w:i w:val="0"/>
                <w:sz w:val="20"/>
              </w:rPr>
              <w:t>—</w:t>
            </w:r>
          </w:p>
        </w:tc>
      </w:tr>
      <w:tr>
        <w:tc>
          <w:tcPr>
            <w:tcW w:type="dxa" w:w="2351"/>
            <w:vAlign w:val="center"/>
          </w:tcPr>
          <w:p>
            <w:pPr>
              <w:spacing w:before="0" w:after="0" w:line="264" w:lineRule="auto"/>
            </w:pPr>
            <w:r/>
            <w:r>
              <w:rPr>
                <w:rFonts w:ascii="Times New Roman" w:hAnsi="Times New Roman"/>
                <w:b w:val="0"/>
                <w:i w:val="0"/>
                <w:sz w:val="20"/>
              </w:rPr>
              <w:t>Biomarker training set (paired baseline+D14)</w:t>
            </w:r>
          </w:p>
        </w:tc>
        <w:tc>
          <w:tcPr>
            <w:tcW w:type="dxa" w:w="2351"/>
            <w:vAlign w:val="center"/>
          </w:tcPr>
          <w:p>
            <w:pPr>
              <w:spacing w:before="0" w:after="0" w:line="264" w:lineRule="auto"/>
            </w:pPr>
            <w:r/>
            <w:r>
              <w:rPr>
                <w:rFonts w:ascii="Times New Roman" w:hAnsi="Times New Roman"/>
                <w:b w:val="0"/>
                <w:i w:val="0"/>
                <w:sz w:val="20"/>
              </w:rPr>
              <w:t>57</w:t>
            </w:r>
          </w:p>
        </w:tc>
        <w:tc>
          <w:tcPr>
            <w:tcW w:type="dxa" w:w="2351"/>
            <w:vAlign w:val="center"/>
          </w:tcPr>
          <w:p>
            <w:pPr>
              <w:spacing w:before="0" w:after="0" w:line="264" w:lineRule="auto"/>
            </w:pPr>
            <w:r/>
            <w:r>
              <w:rPr>
                <w:rFonts w:ascii="Times New Roman" w:hAnsi="Times New Roman"/>
                <w:b w:val="0"/>
                <w:i w:val="0"/>
                <w:sz w:val="20"/>
              </w:rPr>
              <w:t>Patients with paired baseline and day-14 ctDNA and at least one additional timepoint</w:t>
            </w:r>
          </w:p>
        </w:tc>
        <w:tc>
          <w:tcPr>
            <w:tcW w:type="dxa" w:w="2351"/>
            <w:vAlign w:val="center"/>
          </w:tcPr>
          <w:p>
            <w:pPr>
              <w:spacing w:before="0" w:after="0" w:line="264" w:lineRule="auto"/>
            </w:pPr>
            <w:r/>
            <w:r>
              <w:rPr>
                <w:rFonts w:ascii="Times New Roman" w:hAnsi="Times New Roman"/>
                <w:b w:val="0"/>
                <w:i w:val="0"/>
                <w:sz w:val="20"/>
              </w:rPr>
              <w:t>JLCM training; descriptive trajectories (Figure 1)</w:t>
            </w:r>
          </w:p>
        </w:tc>
      </w:tr>
      <w:tr>
        <w:tc>
          <w:tcPr>
            <w:tcW w:type="dxa" w:w="2351"/>
            <w:vAlign w:val="center"/>
          </w:tcPr>
          <w:p>
            <w:pPr>
              <w:spacing w:before="0" w:after="0" w:line="264" w:lineRule="auto"/>
            </w:pPr>
            <w:r/>
            <w:r>
              <w:rPr>
                <w:rFonts w:ascii="Times New Roman" w:hAnsi="Times New Roman"/>
                <w:b w:val="0"/>
                <w:i w:val="0"/>
                <w:sz w:val="20"/>
              </w:rPr>
              <w:t>Baseline ctDNA evaluable</w:t>
            </w:r>
          </w:p>
        </w:tc>
        <w:tc>
          <w:tcPr>
            <w:tcW w:type="dxa" w:w="2351"/>
            <w:vAlign w:val="center"/>
          </w:tcPr>
          <w:p>
            <w:pPr>
              <w:spacing w:before="0" w:after="0" w:line="264" w:lineRule="auto"/>
            </w:pPr>
            <w:r/>
            <w:r>
              <w:rPr>
                <w:rFonts w:ascii="Times New Roman" w:hAnsi="Times New Roman"/>
                <w:b w:val="0"/>
                <w:i w:val="0"/>
                <w:sz w:val="20"/>
              </w:rPr>
              <w:t>54</w:t>
            </w:r>
          </w:p>
        </w:tc>
        <w:tc>
          <w:tcPr>
            <w:tcW w:type="dxa" w:w="2351"/>
            <w:vAlign w:val="center"/>
          </w:tcPr>
          <w:p>
            <w:pPr>
              <w:spacing w:before="0" w:after="0" w:line="264" w:lineRule="auto"/>
            </w:pPr>
            <w:r/>
            <w:r>
              <w:rPr>
                <w:rFonts w:ascii="Times New Roman" w:hAnsi="Times New Roman"/>
                <w:b w:val="0"/>
                <w:i w:val="0"/>
                <w:sz w:val="20"/>
              </w:rPr>
              <w:t>Baseline sample above pre-specified QC threshold</w:t>
            </w:r>
          </w:p>
        </w:tc>
        <w:tc>
          <w:tcPr>
            <w:tcW w:type="dxa" w:w="2351"/>
            <w:vAlign w:val="center"/>
          </w:tcPr>
          <w:p>
            <w:pPr>
              <w:spacing w:before="0" w:after="0" w:line="264" w:lineRule="auto"/>
            </w:pPr>
            <w:r/>
            <w:r>
              <w:rPr>
                <w:rFonts w:ascii="Times New Roman" w:hAnsi="Times New Roman"/>
                <w:b w:val="0"/>
                <w:i w:val="0"/>
                <w:sz w:val="20"/>
              </w:rPr>
              <w:t>Baseline MRD descriptives (50/54 = 92.6%)</w:t>
            </w:r>
          </w:p>
        </w:tc>
      </w:tr>
      <w:tr>
        <w:tc>
          <w:tcPr>
            <w:tcW w:type="dxa" w:w="2351"/>
            <w:vAlign w:val="center"/>
          </w:tcPr>
          <w:p>
            <w:pPr>
              <w:spacing w:before="0" w:after="0" w:line="264" w:lineRule="auto"/>
            </w:pPr>
            <w:r/>
            <w:r>
              <w:rPr>
                <w:rFonts w:ascii="Times New Roman" w:hAnsi="Times New Roman"/>
                <w:b w:val="0"/>
                <w:i w:val="0"/>
                <w:sz w:val="20"/>
              </w:rPr>
              <w:t>Baseline MRD-positive</w:t>
            </w:r>
          </w:p>
        </w:tc>
        <w:tc>
          <w:tcPr>
            <w:tcW w:type="dxa" w:w="2351"/>
            <w:vAlign w:val="center"/>
          </w:tcPr>
          <w:p>
            <w:pPr>
              <w:spacing w:before="0" w:after="0" w:line="264" w:lineRule="auto"/>
            </w:pPr>
            <w:r/>
            <w:r>
              <w:rPr>
                <w:rFonts w:ascii="Times New Roman" w:hAnsi="Times New Roman"/>
                <w:b w:val="0"/>
                <w:i w:val="0"/>
                <w:sz w:val="20"/>
              </w:rPr>
              <w:t>50</w:t>
            </w:r>
          </w:p>
        </w:tc>
        <w:tc>
          <w:tcPr>
            <w:tcW w:type="dxa" w:w="2351"/>
            <w:vAlign w:val="center"/>
          </w:tcPr>
          <w:p>
            <w:pPr>
              <w:spacing w:before="0" w:after="0" w:line="264" w:lineRule="auto"/>
            </w:pPr>
            <w:r/>
            <w:r>
              <w:rPr>
                <w:rFonts w:ascii="Times New Roman" w:hAnsi="Times New Roman"/>
                <w:b w:val="0"/>
                <w:i w:val="0"/>
                <w:sz w:val="20"/>
              </w:rPr>
              <w:t>Detectable ctDNA at baseline</w:t>
            </w:r>
          </w:p>
        </w:tc>
        <w:tc>
          <w:tcPr>
            <w:tcW w:type="dxa" w:w="2351"/>
            <w:vAlign w:val="center"/>
          </w:tcPr>
          <w:p>
            <w:pPr>
              <w:spacing w:before="0" w:after="0" w:line="264" w:lineRule="auto"/>
            </w:pPr>
            <w:r/>
            <w:r>
              <w:rPr>
                <w:rFonts w:ascii="Times New Roman" w:hAnsi="Times New Roman"/>
                <w:b w:val="0"/>
                <w:i w:val="0"/>
                <w:sz w:val="20"/>
              </w:rPr>
              <w:t>—</w:t>
            </w:r>
          </w:p>
        </w:tc>
      </w:tr>
      <w:tr>
        <w:tc>
          <w:tcPr>
            <w:tcW w:type="dxa" w:w="2351"/>
            <w:vAlign w:val="center"/>
          </w:tcPr>
          <w:p>
            <w:pPr>
              <w:spacing w:before="0" w:after="0" w:line="264" w:lineRule="auto"/>
            </w:pPr>
            <w:r/>
            <w:r>
              <w:rPr>
                <w:rFonts w:ascii="Times New Roman" w:hAnsi="Times New Roman"/>
                <w:b w:val="0"/>
                <w:i w:val="0"/>
                <w:sz w:val="20"/>
              </w:rPr>
              <w:t>Day-14 ctDNA evaluable</w:t>
            </w:r>
          </w:p>
        </w:tc>
        <w:tc>
          <w:tcPr>
            <w:tcW w:type="dxa" w:w="2351"/>
            <w:vAlign w:val="center"/>
          </w:tcPr>
          <w:p>
            <w:pPr>
              <w:spacing w:before="0" w:after="0" w:line="264" w:lineRule="auto"/>
            </w:pPr>
            <w:r/>
            <w:r>
              <w:rPr>
                <w:rFonts w:ascii="Times New Roman" w:hAnsi="Times New Roman"/>
                <w:b w:val="0"/>
                <w:i w:val="0"/>
                <w:sz w:val="20"/>
              </w:rPr>
              <w:t>51</w:t>
            </w:r>
          </w:p>
        </w:tc>
        <w:tc>
          <w:tcPr>
            <w:tcW w:type="dxa" w:w="2351"/>
            <w:vAlign w:val="center"/>
          </w:tcPr>
          <w:p>
            <w:pPr>
              <w:spacing w:before="0" w:after="0" w:line="264" w:lineRule="auto"/>
            </w:pPr>
            <w:r/>
            <w:r>
              <w:rPr>
                <w:rFonts w:ascii="Times New Roman" w:hAnsi="Times New Roman"/>
                <w:b w:val="0"/>
                <w:i w:val="0"/>
                <w:sz w:val="20"/>
              </w:rPr>
              <w:t>Day-14 sample above pre-specified QC threshold</w:t>
            </w:r>
          </w:p>
        </w:tc>
        <w:tc>
          <w:tcPr>
            <w:tcW w:type="dxa" w:w="2351"/>
            <w:vAlign w:val="center"/>
          </w:tcPr>
          <w:p>
            <w:pPr>
              <w:spacing w:before="0" w:after="0" w:line="264" w:lineRule="auto"/>
            </w:pPr>
            <w:r/>
            <w:r>
              <w:rPr>
                <w:rFonts w:ascii="Times New Roman" w:hAnsi="Times New Roman"/>
                <w:b w:val="0"/>
                <w:i w:val="0"/>
                <w:sz w:val="20"/>
              </w:rPr>
              <w:t>Day-14 MRD descriptive (36/51 = 70.6%)</w:t>
            </w:r>
          </w:p>
        </w:tc>
      </w:tr>
      <w:tr>
        <w:tc>
          <w:tcPr>
            <w:tcW w:type="dxa" w:w="2351"/>
            <w:vAlign w:val="center"/>
          </w:tcPr>
          <w:p>
            <w:pPr>
              <w:spacing w:before="0" w:after="0" w:line="264" w:lineRule="auto"/>
            </w:pPr>
            <w:r/>
            <w:r>
              <w:rPr>
                <w:rFonts w:ascii="Times New Roman" w:hAnsi="Times New Roman"/>
                <w:b w:val="0"/>
                <w:i w:val="0"/>
                <w:sz w:val="20"/>
              </w:rPr>
              <w:t>Classifiable by predictClass (D14)</w:t>
            </w:r>
          </w:p>
        </w:tc>
        <w:tc>
          <w:tcPr>
            <w:tcW w:type="dxa" w:w="2351"/>
            <w:vAlign w:val="center"/>
          </w:tcPr>
          <w:p>
            <w:pPr>
              <w:spacing w:before="0" w:after="0" w:line="264" w:lineRule="auto"/>
            </w:pPr>
            <w:r/>
            <w:r>
              <w:rPr>
                <w:rFonts w:ascii="Times New Roman" w:hAnsi="Times New Roman"/>
                <w:b w:val="0"/>
                <w:i w:val="0"/>
                <w:sz w:val="20"/>
              </w:rPr>
              <w:t>44</w:t>
            </w:r>
          </w:p>
        </w:tc>
        <w:tc>
          <w:tcPr>
            <w:tcW w:type="dxa" w:w="2351"/>
            <w:vAlign w:val="center"/>
          </w:tcPr>
          <w:p>
            <w:pPr>
              <w:spacing w:before="0" w:after="0" w:line="264" w:lineRule="auto"/>
            </w:pPr>
            <w:r/>
            <w:r>
              <w:rPr>
                <w:rFonts w:ascii="Times New Roman" w:hAnsi="Times New Roman"/>
                <w:b w:val="0"/>
                <w:i w:val="0"/>
                <w:sz w:val="20"/>
              </w:rPr>
              <w:t>Posterior probability assignable from baseline+D14 measurements; complete IPI and baseline-MTV covariates; 22 low-risk + 22 high-risk</w:t>
            </w:r>
          </w:p>
        </w:tc>
        <w:tc>
          <w:tcPr>
            <w:tcW w:type="dxa" w:w="2351"/>
            <w:vAlign w:val="center"/>
          </w:tcPr>
          <w:p>
            <w:pPr>
              <w:spacing w:before="0" w:after="0" w:line="264" w:lineRule="auto"/>
            </w:pPr>
            <w:r/>
            <w:r>
              <w:rPr>
                <w:rFonts w:ascii="Times New Roman" w:hAnsi="Times New Roman"/>
                <w:b w:val="0"/>
                <w:i w:val="0"/>
                <w:sz w:val="20"/>
              </w:rPr>
              <w:t>Primary Cox and KM analyses (Figures 2 3 5; Table 2)</w:t>
            </w:r>
          </w:p>
        </w:tc>
      </w:tr>
      <w:tr>
        <w:tc>
          <w:tcPr>
            <w:tcW w:type="dxa" w:w="2351"/>
            <w:vAlign w:val="center"/>
          </w:tcPr>
          <w:p>
            <w:pPr>
              <w:spacing w:before="0" w:after="0" w:line="264" w:lineRule="auto"/>
            </w:pPr>
            <w:r/>
            <w:r>
              <w:rPr>
                <w:rFonts w:ascii="Times New Roman" w:hAnsi="Times New Roman"/>
                <w:b w:val="0"/>
                <w:i w:val="0"/>
                <w:sz w:val="20"/>
              </w:rPr>
              <w:t>EFS events in classifiable set</w:t>
            </w:r>
          </w:p>
        </w:tc>
        <w:tc>
          <w:tcPr>
            <w:tcW w:type="dxa" w:w="2351"/>
            <w:vAlign w:val="center"/>
          </w:tcPr>
          <w:p>
            <w:pPr>
              <w:spacing w:before="0" w:after="0" w:line="264" w:lineRule="auto"/>
            </w:pPr>
            <w:r/>
            <w:r>
              <w:rPr>
                <w:rFonts w:ascii="Times New Roman" w:hAnsi="Times New Roman"/>
                <w:b w:val="0"/>
                <w:i w:val="0"/>
                <w:sz w:val="20"/>
              </w:rPr>
              <w:t>25</w:t>
            </w:r>
          </w:p>
        </w:tc>
        <w:tc>
          <w:tcPr>
            <w:tcW w:type="dxa" w:w="2351"/>
            <w:vAlign w:val="center"/>
          </w:tcPr>
          <w:p>
            <w:pPr>
              <w:spacing w:before="0" w:after="0" w:line="264" w:lineRule="auto"/>
            </w:pPr>
            <w:r/>
            <w:r>
              <w:rPr>
                <w:rFonts w:ascii="Times New Roman" w:hAnsi="Times New Roman"/>
                <w:b w:val="0"/>
                <w:i w:val="0"/>
                <w:sz w:val="20"/>
              </w:rPr>
              <w:t>EFS event during follow-up (n=44)</w:t>
            </w:r>
          </w:p>
        </w:tc>
        <w:tc>
          <w:tcPr>
            <w:tcW w:type="dxa" w:w="2351"/>
            <w:vAlign w:val="center"/>
          </w:tcPr>
          <w:p>
            <w:pPr>
              <w:spacing w:before="0" w:after="0" w:line="264" w:lineRule="auto"/>
            </w:pPr>
            <w:r/>
            <w:r>
              <w:rPr>
                <w:rFonts w:ascii="Times New Roman" w:hAnsi="Times New Roman"/>
                <w:b w:val="0"/>
                <w:i w:val="0"/>
                <w:sz w:val="20"/>
              </w:rPr>
              <w:t>Primary EFS Cox (univariable and multivariable)</w:t>
            </w:r>
          </w:p>
        </w:tc>
      </w:tr>
      <w:tr>
        <w:tc>
          <w:tcPr>
            <w:tcW w:type="dxa" w:w="2351"/>
            <w:vAlign w:val="center"/>
          </w:tcPr>
          <w:p>
            <w:pPr>
              <w:spacing w:before="0" w:after="0" w:line="264" w:lineRule="auto"/>
            </w:pPr>
            <w:r/>
            <w:r>
              <w:rPr>
                <w:rFonts w:ascii="Times New Roman" w:hAnsi="Times New Roman"/>
                <w:b w:val="0"/>
                <w:i w:val="0"/>
                <w:sz w:val="20"/>
              </w:rPr>
              <w:t>OS events in classifiable set</w:t>
            </w:r>
          </w:p>
        </w:tc>
        <w:tc>
          <w:tcPr>
            <w:tcW w:type="dxa" w:w="2351"/>
            <w:vAlign w:val="center"/>
          </w:tcPr>
          <w:p>
            <w:pPr>
              <w:spacing w:before="0" w:after="0" w:line="264" w:lineRule="auto"/>
            </w:pPr>
            <w:r/>
            <w:r>
              <w:rPr>
                <w:rFonts w:ascii="Times New Roman" w:hAnsi="Times New Roman"/>
                <w:b w:val="0"/>
                <w:i w:val="0"/>
                <w:sz w:val="20"/>
              </w:rPr>
              <w:t>17</w:t>
            </w:r>
          </w:p>
        </w:tc>
        <w:tc>
          <w:tcPr>
            <w:tcW w:type="dxa" w:w="2351"/>
            <w:vAlign w:val="center"/>
          </w:tcPr>
          <w:p>
            <w:pPr>
              <w:spacing w:before="0" w:after="0" w:line="264" w:lineRule="auto"/>
            </w:pPr>
            <w:r/>
            <w:r>
              <w:rPr>
                <w:rFonts w:ascii="Times New Roman" w:hAnsi="Times New Roman"/>
                <w:b w:val="0"/>
                <w:i w:val="0"/>
                <w:sz w:val="20"/>
              </w:rPr>
              <w:t>Death during follow-up (n=44)</w:t>
            </w:r>
          </w:p>
        </w:tc>
        <w:tc>
          <w:tcPr>
            <w:tcW w:type="dxa" w:w="2351"/>
            <w:vAlign w:val="center"/>
          </w:tcPr>
          <w:p>
            <w:pPr>
              <w:spacing w:before="0" w:after="0" w:line="264" w:lineRule="auto"/>
            </w:pPr>
            <w:r/>
            <w:r>
              <w:rPr>
                <w:rFonts w:ascii="Times New Roman" w:hAnsi="Times New Roman"/>
                <w:b w:val="0"/>
                <w:i w:val="0"/>
                <w:sz w:val="20"/>
              </w:rPr>
              <w:t>Primary OS Cox; n drops to 41 in OS bivariable subsets owing to additional missingness</w:t>
            </w:r>
          </w:p>
        </w:tc>
      </w:tr>
      <w:tr>
        <w:tc>
          <w:tcPr>
            <w:tcW w:type="dxa" w:w="2351"/>
            <w:vAlign w:val="center"/>
          </w:tcPr>
          <w:p>
            <w:pPr>
              <w:spacing w:before="0" w:after="0" w:line="264" w:lineRule="auto"/>
            </w:pPr>
            <w:r/>
            <w:r>
              <w:rPr>
                <w:rFonts w:ascii="Times New Roman" w:hAnsi="Times New Roman"/>
                <w:b w:val="0"/>
                <w:i w:val="0"/>
                <w:sz w:val="20"/>
              </w:rPr>
              <w:t>Day-14 Deauville evaluable</w:t>
            </w:r>
          </w:p>
        </w:tc>
        <w:tc>
          <w:tcPr>
            <w:tcW w:type="dxa" w:w="2351"/>
            <w:vAlign w:val="center"/>
          </w:tcPr>
          <w:p>
            <w:pPr>
              <w:spacing w:before="0" w:after="0" w:line="264" w:lineRule="auto"/>
            </w:pPr>
            <w:r/>
            <w:r>
              <w:rPr>
                <w:rFonts w:ascii="Times New Roman" w:hAnsi="Times New Roman"/>
                <w:b w:val="0"/>
                <w:i w:val="0"/>
                <w:sz w:val="20"/>
              </w:rPr>
              <w:t>52</w:t>
            </w:r>
          </w:p>
        </w:tc>
        <w:tc>
          <w:tcPr>
            <w:tcW w:type="dxa" w:w="2351"/>
            <w:vAlign w:val="center"/>
          </w:tcPr>
          <w:p>
            <w:pPr>
              <w:spacing w:before="0" w:after="0" w:line="264" w:lineRule="auto"/>
            </w:pPr>
            <w:r/>
            <w:r>
              <w:rPr>
                <w:rFonts w:ascii="Times New Roman" w:hAnsi="Times New Roman"/>
                <w:b w:val="0"/>
                <w:i w:val="0"/>
                <w:sz w:val="20"/>
              </w:rPr>
              <w:t>Central PET review available at D14</w:t>
            </w:r>
          </w:p>
        </w:tc>
        <w:tc>
          <w:tcPr>
            <w:tcW w:type="dxa" w:w="2351"/>
            <w:vAlign w:val="center"/>
          </w:tcPr>
          <w:p>
            <w:pPr>
              <w:spacing w:before="0" w:after="0" w:line="264" w:lineRule="auto"/>
            </w:pPr>
            <w:r/>
            <w:r>
              <w:rPr>
                <w:rFonts w:ascii="Times New Roman" w:hAnsi="Times New Roman"/>
                <w:b w:val="0"/>
                <w:i w:val="0"/>
                <w:sz w:val="20"/>
              </w:rPr>
              <w:t>Deauville D14 &gt;=4 Cox (n=52 EFS; n=49 OS)</w:t>
            </w:r>
          </w:p>
        </w:tc>
      </w:tr>
      <w:tr>
        <w:tc>
          <w:tcPr>
            <w:tcW w:type="dxa" w:w="2351"/>
            <w:vAlign w:val="center"/>
          </w:tcPr>
          <w:p>
            <w:pPr>
              <w:spacing w:before="0" w:after="0" w:line="264" w:lineRule="auto"/>
            </w:pPr>
            <w:r/>
            <w:r>
              <w:rPr>
                <w:rFonts w:ascii="Times New Roman" w:hAnsi="Times New Roman"/>
                <w:b w:val="0"/>
                <w:i w:val="0"/>
                <w:sz w:val="20"/>
              </w:rPr>
              <w:t>Day-14 ctDNA + Deauville D14 (bivariable EFS)</w:t>
            </w:r>
          </w:p>
        </w:tc>
        <w:tc>
          <w:tcPr>
            <w:tcW w:type="dxa" w:w="2351"/>
            <w:vAlign w:val="center"/>
          </w:tcPr>
          <w:p>
            <w:pPr>
              <w:spacing w:before="0" w:after="0" w:line="264" w:lineRule="auto"/>
            </w:pPr>
            <w:r/>
            <w:r>
              <w:rPr>
                <w:rFonts w:ascii="Times New Roman" w:hAnsi="Times New Roman"/>
                <w:b w:val="0"/>
                <w:i w:val="0"/>
                <w:sz w:val="20"/>
              </w:rPr>
              <w:t>41</w:t>
            </w:r>
          </w:p>
        </w:tc>
        <w:tc>
          <w:tcPr>
            <w:tcW w:type="dxa" w:w="2351"/>
            <w:vAlign w:val="center"/>
          </w:tcPr>
          <w:p>
            <w:pPr>
              <w:spacing w:before="0" w:after="0" w:line="264" w:lineRule="auto"/>
            </w:pPr>
            <w:r/>
            <w:r>
              <w:rPr>
                <w:rFonts w:ascii="Times New Roman" w:hAnsi="Times New Roman"/>
                <w:b w:val="0"/>
                <w:i w:val="0"/>
                <w:sz w:val="20"/>
              </w:rPr>
              <w:t>Subset with both classifications and complete follow-up</w:t>
            </w:r>
          </w:p>
        </w:tc>
        <w:tc>
          <w:tcPr>
            <w:tcW w:type="dxa" w:w="2351"/>
            <w:vAlign w:val="center"/>
          </w:tcPr>
          <w:p>
            <w:pPr>
              <w:spacing w:before="0" w:after="0" w:line="264" w:lineRule="auto"/>
            </w:pPr>
            <w:r/>
            <w:r>
              <w:rPr>
                <w:rFonts w:ascii="Times New Roman" w:hAnsi="Times New Roman"/>
                <w:b w:val="0"/>
                <w:i w:val="0"/>
                <w:sz w:val="20"/>
              </w:rPr>
              <w:t>Bivariable Cox (Deauville/Lugano D14)</w:t>
            </w:r>
          </w:p>
        </w:tc>
      </w:tr>
      <w:tr>
        <w:tc>
          <w:tcPr>
            <w:tcW w:type="dxa" w:w="2351"/>
            <w:vAlign w:val="center"/>
          </w:tcPr>
          <w:p>
            <w:pPr>
              <w:spacing w:before="0" w:after="0" w:line="264" w:lineRule="auto"/>
            </w:pPr>
            <w:r/>
            <w:r>
              <w:rPr>
                <w:rFonts w:ascii="Times New Roman" w:hAnsi="Times New Roman"/>
                <w:b w:val="0"/>
                <w:i w:val="0"/>
                <w:sz w:val="20"/>
              </w:rPr>
              <w:t>Day-14 ctDNA + Deauville D14 (bivariable OS)</w:t>
            </w:r>
          </w:p>
        </w:tc>
        <w:tc>
          <w:tcPr>
            <w:tcW w:type="dxa" w:w="2351"/>
            <w:vAlign w:val="center"/>
          </w:tcPr>
          <w:p>
            <w:pPr>
              <w:spacing w:before="0" w:after="0" w:line="264" w:lineRule="auto"/>
            </w:pPr>
            <w:r/>
            <w:r>
              <w:rPr>
                <w:rFonts w:ascii="Times New Roman" w:hAnsi="Times New Roman"/>
                <w:b w:val="0"/>
                <w:i w:val="0"/>
                <w:sz w:val="20"/>
              </w:rPr>
              <w:t>38</w:t>
            </w:r>
          </w:p>
        </w:tc>
        <w:tc>
          <w:tcPr>
            <w:tcW w:type="dxa" w:w="2351"/>
            <w:vAlign w:val="center"/>
          </w:tcPr>
          <w:p>
            <w:pPr>
              <w:spacing w:before="0" w:after="0" w:line="264" w:lineRule="auto"/>
            </w:pPr>
            <w:r/>
            <w:r>
              <w:rPr>
                <w:rFonts w:ascii="Times New Roman" w:hAnsi="Times New Roman"/>
                <w:b w:val="0"/>
                <w:i w:val="0"/>
                <w:sz w:val="20"/>
              </w:rPr>
              <w:t>Subset with both classifications and OS data</w:t>
            </w:r>
          </w:p>
        </w:tc>
        <w:tc>
          <w:tcPr>
            <w:tcW w:type="dxa" w:w="2351"/>
            <w:vAlign w:val="center"/>
          </w:tcPr>
          <w:p>
            <w:pPr>
              <w:spacing w:before="0" w:after="0" w:line="264" w:lineRule="auto"/>
            </w:pPr>
            <w:r/>
            <w:r>
              <w:rPr>
                <w:rFonts w:ascii="Times New Roman" w:hAnsi="Times New Roman"/>
                <w:b w:val="0"/>
                <w:i w:val="0"/>
                <w:sz w:val="20"/>
              </w:rPr>
              <w:t>Bivariable Cox OS (Deauville/Lugano D14)</w:t>
            </w:r>
          </w:p>
        </w:tc>
      </w:tr>
      <w:tr>
        <w:tc>
          <w:tcPr>
            <w:tcW w:type="dxa" w:w="2351"/>
            <w:vAlign w:val="center"/>
          </w:tcPr>
          <w:p>
            <w:pPr>
              <w:spacing w:before="0" w:after="0" w:line="264" w:lineRule="auto"/>
            </w:pPr>
            <w:r/>
            <w:r>
              <w:rPr>
                <w:rFonts w:ascii="Times New Roman" w:hAnsi="Times New Roman"/>
                <w:b w:val="0"/>
                <w:i w:val="0"/>
                <w:sz w:val="20"/>
              </w:rPr>
              <w:t>JLCM-Deauville classifiable (full longitudinal)</w:t>
            </w:r>
          </w:p>
        </w:tc>
        <w:tc>
          <w:tcPr>
            <w:tcW w:type="dxa" w:w="2351"/>
            <w:vAlign w:val="center"/>
          </w:tcPr>
          <w:p>
            <w:pPr>
              <w:spacing w:before="0" w:after="0" w:line="264" w:lineRule="auto"/>
            </w:pPr>
            <w:r/>
            <w:r>
              <w:rPr>
                <w:rFonts w:ascii="Times New Roman" w:hAnsi="Times New Roman"/>
                <w:b w:val="0"/>
                <w:i w:val="0"/>
                <w:sz w:val="20"/>
              </w:rPr>
              <w:t>55</w:t>
            </w:r>
          </w:p>
        </w:tc>
        <w:tc>
          <w:tcPr>
            <w:tcW w:type="dxa" w:w="2351"/>
            <w:vAlign w:val="center"/>
          </w:tcPr>
          <w:p>
            <w:pPr>
              <w:spacing w:before="0" w:after="0" w:line="264" w:lineRule="auto"/>
            </w:pPr>
            <w:r/>
            <w:r>
              <w:rPr>
                <w:rFonts w:ascii="Times New Roman" w:hAnsi="Times New Roman"/>
                <w:b w:val="0"/>
                <w:i w:val="0"/>
                <w:sz w:val="20"/>
              </w:rPr>
              <w:t>371 Deauville measurements; ng=2 JLCM (BIC 1590.0 vs 1594.8)</w:t>
            </w:r>
          </w:p>
        </w:tc>
        <w:tc>
          <w:tcPr>
            <w:tcW w:type="dxa" w:w="2351"/>
            <w:vAlign w:val="center"/>
          </w:tcPr>
          <w:p>
            <w:pPr>
              <w:spacing w:before="0" w:after="0" w:line="264" w:lineRule="auto"/>
            </w:pPr>
            <w:r/>
            <w:r>
              <w:rPr>
                <w:rFonts w:ascii="Times New Roman" w:hAnsi="Times New Roman"/>
                <w:b w:val="0"/>
                <w:i w:val="0"/>
                <w:sz w:val="20"/>
              </w:rPr>
              <w:t>JLCM-Deauville Cox EFS (n=55 events 34)</w:t>
            </w:r>
          </w:p>
        </w:tc>
      </w:tr>
      <w:tr>
        <w:tc>
          <w:tcPr>
            <w:tcW w:type="dxa" w:w="2351"/>
            <w:vAlign w:val="center"/>
          </w:tcPr>
          <w:p>
            <w:pPr>
              <w:spacing w:before="0" w:after="0" w:line="264" w:lineRule="auto"/>
            </w:pPr>
            <w:r/>
            <w:r>
              <w:rPr>
                <w:rFonts w:ascii="Times New Roman" w:hAnsi="Times New Roman"/>
                <w:b w:val="0"/>
                <w:i w:val="0"/>
                <w:sz w:val="20"/>
              </w:rPr>
              <w:t>JLCM-Deauville classifiable with OS data</w:t>
            </w:r>
          </w:p>
        </w:tc>
        <w:tc>
          <w:tcPr>
            <w:tcW w:type="dxa" w:w="2351"/>
            <w:vAlign w:val="center"/>
          </w:tcPr>
          <w:p>
            <w:pPr>
              <w:spacing w:before="0" w:after="0" w:line="264" w:lineRule="auto"/>
            </w:pPr>
            <w:r/>
            <w:r>
              <w:rPr>
                <w:rFonts w:ascii="Times New Roman" w:hAnsi="Times New Roman"/>
                <w:b w:val="0"/>
                <w:i w:val="0"/>
                <w:sz w:val="20"/>
              </w:rPr>
              <w:t>52</w:t>
            </w:r>
          </w:p>
        </w:tc>
        <w:tc>
          <w:tcPr>
            <w:tcW w:type="dxa" w:w="2351"/>
            <w:vAlign w:val="center"/>
          </w:tcPr>
          <w:p>
            <w:pPr>
              <w:spacing w:before="0" w:after="0" w:line="264" w:lineRule="auto"/>
            </w:pPr>
            <w:r/>
            <w:r>
              <w:rPr>
                <w:rFonts w:ascii="Times New Roman" w:hAnsi="Times New Roman"/>
                <w:b w:val="0"/>
                <w:i w:val="0"/>
                <w:sz w:val="20"/>
              </w:rPr>
              <w:t>OS subset of JLCM-Deauville</w:t>
            </w:r>
          </w:p>
        </w:tc>
        <w:tc>
          <w:tcPr>
            <w:tcW w:type="dxa" w:w="2351"/>
            <w:vAlign w:val="center"/>
          </w:tcPr>
          <w:p>
            <w:pPr>
              <w:spacing w:before="0" w:after="0" w:line="264" w:lineRule="auto"/>
            </w:pPr>
            <w:r/>
            <w:r>
              <w:rPr>
                <w:rFonts w:ascii="Times New Roman" w:hAnsi="Times New Roman"/>
                <w:b w:val="0"/>
                <w:i w:val="0"/>
                <w:sz w:val="20"/>
              </w:rPr>
              <w:t>JLCM-Deauville Cox OS</w:t>
            </w:r>
          </w:p>
        </w:tc>
      </w:tr>
      <w:tr>
        <w:tc>
          <w:tcPr>
            <w:tcW w:type="dxa" w:w="2351"/>
            <w:vAlign w:val="center"/>
          </w:tcPr>
          <w:p>
            <w:pPr>
              <w:spacing w:before="0" w:after="0" w:line="264" w:lineRule="auto"/>
            </w:pPr>
            <w:r/>
            <w:r>
              <w:rPr>
                <w:rFonts w:ascii="Times New Roman" w:hAnsi="Times New Roman"/>
                <w:b w:val="0"/>
                <w:i w:val="0"/>
                <w:sz w:val="20"/>
              </w:rPr>
              <w:t>ctDNA-JLCM + JLCM-Deauville (bivariable EFS)</w:t>
            </w:r>
          </w:p>
        </w:tc>
        <w:tc>
          <w:tcPr>
            <w:tcW w:type="dxa" w:w="2351"/>
            <w:vAlign w:val="center"/>
          </w:tcPr>
          <w:p>
            <w:pPr>
              <w:spacing w:before="0" w:after="0" w:line="264" w:lineRule="auto"/>
            </w:pPr>
            <w:r/>
            <w:r>
              <w:rPr>
                <w:rFonts w:ascii="Times New Roman" w:hAnsi="Times New Roman"/>
                <w:b w:val="0"/>
                <w:i w:val="0"/>
                <w:sz w:val="20"/>
              </w:rPr>
              <w:t>44</w:t>
            </w:r>
          </w:p>
        </w:tc>
        <w:tc>
          <w:tcPr>
            <w:tcW w:type="dxa" w:w="2351"/>
            <w:vAlign w:val="center"/>
          </w:tcPr>
          <w:p>
            <w:pPr>
              <w:spacing w:before="0" w:after="0" w:line="264" w:lineRule="auto"/>
            </w:pPr>
            <w:r/>
            <w:r>
              <w:rPr>
                <w:rFonts w:ascii="Times New Roman" w:hAnsi="Times New Roman"/>
                <w:b w:val="0"/>
                <w:i w:val="0"/>
                <w:sz w:val="20"/>
              </w:rPr>
              <w:t>Both classifiable; same subset as primary EFS</w:t>
            </w:r>
          </w:p>
        </w:tc>
        <w:tc>
          <w:tcPr>
            <w:tcW w:type="dxa" w:w="2351"/>
            <w:vAlign w:val="center"/>
          </w:tcPr>
          <w:p>
            <w:pPr>
              <w:spacing w:before="0" w:after="0" w:line="264" w:lineRule="auto"/>
            </w:pPr>
            <w:r/>
            <w:r>
              <w:rPr>
                <w:rFonts w:ascii="Times New Roman" w:hAnsi="Times New Roman"/>
                <w:b w:val="0"/>
                <w:i w:val="0"/>
                <w:sz w:val="20"/>
              </w:rPr>
              <w:t>Bivariable Cox (JLCM-Deauville EFS); also Table S13</w:t>
            </w:r>
          </w:p>
        </w:tc>
      </w:tr>
      <w:tr>
        <w:tc>
          <w:tcPr>
            <w:tcW w:type="dxa" w:w="2351"/>
            <w:vAlign w:val="center"/>
          </w:tcPr>
          <w:p>
            <w:pPr>
              <w:spacing w:before="0" w:after="0" w:line="264" w:lineRule="auto"/>
            </w:pPr>
            <w:r/>
            <w:r>
              <w:rPr>
                <w:rFonts w:ascii="Times New Roman" w:hAnsi="Times New Roman"/>
                <w:b w:val="0"/>
                <w:i w:val="0"/>
                <w:sz w:val="20"/>
              </w:rPr>
              <w:t>ctDNA-JLCM + JLCM-Deauville (bivariable OS)</w:t>
            </w:r>
          </w:p>
        </w:tc>
        <w:tc>
          <w:tcPr>
            <w:tcW w:type="dxa" w:w="2351"/>
            <w:vAlign w:val="center"/>
          </w:tcPr>
          <w:p>
            <w:pPr>
              <w:spacing w:before="0" w:after="0" w:line="264" w:lineRule="auto"/>
            </w:pPr>
            <w:r/>
            <w:r>
              <w:rPr>
                <w:rFonts w:ascii="Times New Roman" w:hAnsi="Times New Roman"/>
                <w:b w:val="0"/>
                <w:i w:val="0"/>
                <w:sz w:val="20"/>
              </w:rPr>
              <w:t>41</w:t>
            </w:r>
          </w:p>
        </w:tc>
        <w:tc>
          <w:tcPr>
            <w:tcW w:type="dxa" w:w="2351"/>
            <w:vAlign w:val="center"/>
          </w:tcPr>
          <w:p>
            <w:pPr>
              <w:spacing w:before="0" w:after="0" w:line="264" w:lineRule="auto"/>
            </w:pPr>
            <w:r/>
            <w:r>
              <w:rPr>
                <w:rFonts w:ascii="Times New Roman" w:hAnsi="Times New Roman"/>
                <w:b w:val="0"/>
                <w:i w:val="0"/>
                <w:sz w:val="20"/>
              </w:rPr>
              <w:t>Both classifiable with OS data</w:t>
            </w:r>
          </w:p>
        </w:tc>
        <w:tc>
          <w:tcPr>
            <w:tcW w:type="dxa" w:w="2351"/>
            <w:vAlign w:val="center"/>
          </w:tcPr>
          <w:p>
            <w:pPr>
              <w:spacing w:before="0" w:after="0" w:line="264" w:lineRule="auto"/>
            </w:pPr>
            <w:r/>
            <w:r>
              <w:rPr>
                <w:rFonts w:ascii="Times New Roman" w:hAnsi="Times New Roman"/>
                <w:b w:val="0"/>
                <w:i w:val="0"/>
                <w:sz w:val="20"/>
              </w:rPr>
              <w:t>Bivariable Cox (JLCM-Deauville OS); spurious protective HR 0.27 explained in Table S13 footnote</w:t>
            </w:r>
          </w:p>
        </w:tc>
      </w:tr>
      <w:tr>
        <w:tc>
          <w:tcPr>
            <w:tcW w:type="dxa" w:w="2351"/>
            <w:vAlign w:val="center"/>
          </w:tcPr>
          <w:p>
            <w:pPr>
              <w:spacing w:before="0" w:after="0" w:line="264" w:lineRule="auto"/>
            </w:pPr>
            <w:r/>
            <w:r>
              <w:rPr>
                <w:rFonts w:ascii="Times New Roman" w:hAnsi="Times New Roman"/>
                <w:b w:val="0"/>
                <w:i w:val="0"/>
                <w:sz w:val="20"/>
              </w:rPr>
              <w:t>Henri-Mondor cohort (screened)</w:t>
            </w:r>
          </w:p>
        </w:tc>
        <w:tc>
          <w:tcPr>
            <w:tcW w:type="dxa" w:w="2351"/>
            <w:vAlign w:val="center"/>
          </w:tcPr>
          <w:p>
            <w:pPr>
              <w:spacing w:before="0" w:after="0" w:line="264" w:lineRule="auto"/>
            </w:pPr>
            <w:r/>
            <w:r>
              <w:rPr>
                <w:rFonts w:ascii="Times New Roman" w:hAnsi="Times New Roman"/>
                <w:b w:val="0"/>
                <w:i w:val="0"/>
                <w:sz w:val="20"/>
              </w:rPr>
              <w:t>33</w:t>
            </w:r>
          </w:p>
        </w:tc>
        <w:tc>
          <w:tcPr>
            <w:tcW w:type="dxa" w:w="2351"/>
            <w:vAlign w:val="center"/>
          </w:tcPr>
          <w:p>
            <w:pPr>
              <w:spacing w:before="0" w:after="0" w:line="264" w:lineRule="auto"/>
            </w:pPr>
            <w:r/>
            <w:r>
              <w:rPr>
                <w:rFonts w:ascii="Times New Roman" w:hAnsi="Times New Roman"/>
                <w:b w:val="0"/>
                <w:i w:val="0"/>
                <w:sz w:val="20"/>
              </w:rPr>
              <w:t>Consecutive adult R/R LBCL treated with CD19-CAR-T at AP-HP Créteil 2019-2024</w:t>
            </w:r>
          </w:p>
        </w:tc>
        <w:tc>
          <w:tcPr>
            <w:tcW w:type="dxa" w:w="2351"/>
            <w:vAlign w:val="center"/>
          </w:tcPr>
          <w:p>
            <w:pPr>
              <w:spacing w:before="0" w:after="0" w:line="264" w:lineRule="auto"/>
            </w:pPr>
            <w:r/>
            <w:r>
              <w:rPr>
                <w:rFonts w:ascii="Times New Roman" w:hAnsi="Times New Roman"/>
                <w:b w:val="0"/>
                <w:i w:val="0"/>
                <w:sz w:val="20"/>
              </w:rPr>
              <w:t>External cohort</w:t>
            </w:r>
          </w:p>
        </w:tc>
      </w:tr>
      <w:tr>
        <w:tc>
          <w:tcPr>
            <w:tcW w:type="dxa" w:w="2351"/>
            <w:vAlign w:val="center"/>
          </w:tcPr>
          <w:p>
            <w:pPr>
              <w:spacing w:before="0" w:after="0" w:line="264" w:lineRule="auto"/>
            </w:pPr>
            <w:r/>
            <w:r>
              <w:rPr>
                <w:rFonts w:ascii="Times New Roman" w:hAnsi="Times New Roman"/>
                <w:b w:val="0"/>
                <w:i w:val="0"/>
                <w:sz w:val="20"/>
              </w:rPr>
              <w:t>Henri-Mondor classifiable</w:t>
            </w:r>
          </w:p>
        </w:tc>
        <w:tc>
          <w:tcPr>
            <w:tcW w:type="dxa" w:w="2351"/>
            <w:vAlign w:val="center"/>
          </w:tcPr>
          <w:p>
            <w:pPr>
              <w:spacing w:before="0" w:after="0" w:line="264" w:lineRule="auto"/>
            </w:pPr>
            <w:r/>
            <w:r>
              <w:rPr>
                <w:rFonts w:ascii="Times New Roman" w:hAnsi="Times New Roman"/>
                <w:b w:val="0"/>
                <w:i w:val="0"/>
                <w:sz w:val="20"/>
              </w:rPr>
              <w:t>18</w:t>
            </w:r>
          </w:p>
        </w:tc>
        <w:tc>
          <w:tcPr>
            <w:tcW w:type="dxa" w:w="2351"/>
            <w:vAlign w:val="center"/>
          </w:tcPr>
          <w:p>
            <w:pPr>
              <w:spacing w:before="0" w:after="0" w:line="264" w:lineRule="auto"/>
            </w:pPr>
            <w:r/>
            <w:r>
              <w:rPr>
                <w:rFonts w:ascii="Times New Roman" w:hAnsi="Times New Roman"/>
                <w:b w:val="0"/>
                <w:i w:val="0"/>
                <w:sz w:val="20"/>
              </w:rPr>
              <w:t>Paired baseline+D14 ctDNA available; predictClass applied without re-fitting; 10 low-risk + 8 high-risk</w:t>
            </w:r>
          </w:p>
        </w:tc>
        <w:tc>
          <w:tcPr>
            <w:tcW w:type="dxa" w:w="2351"/>
            <w:vAlign w:val="center"/>
          </w:tcPr>
          <w:p>
            <w:pPr>
              <w:spacing w:before="0" w:after="0" w:line="264" w:lineRule="auto"/>
            </w:pPr>
            <w:r/>
            <w:r>
              <w:rPr>
                <w:rFonts w:ascii="Times New Roman" w:hAnsi="Times New Roman"/>
                <w:b w:val="0"/>
                <w:i w:val="0"/>
                <w:sz w:val="20"/>
              </w:rPr>
              <w:t>External validation (Figure 4); 9 EFS events; 3 deaths</w:t>
            </w:r>
          </w:p>
        </w:tc>
      </w:tr>
      <w:tr>
        <w:tc>
          <w:tcPr>
            <w:tcW w:type="dxa" w:w="2351"/>
            <w:vAlign w:val="center"/>
          </w:tcPr>
          <w:p>
            <w:pPr>
              <w:spacing w:before="0" w:after="0" w:line="264" w:lineRule="auto"/>
            </w:pPr>
            <w:r/>
            <w:r>
              <w:rPr>
                <w:rFonts w:ascii="Times New Roman" w:hAnsi="Times New Roman"/>
                <w:b w:val="0"/>
                <w:i w:val="0"/>
                <w:sz w:val="20"/>
              </w:rPr>
              <w:t>Henri-Mondor axi-cel subgroup (sensitivity)</w:t>
            </w:r>
          </w:p>
        </w:tc>
        <w:tc>
          <w:tcPr>
            <w:tcW w:type="dxa" w:w="2351"/>
            <w:vAlign w:val="center"/>
          </w:tcPr>
          <w:p>
            <w:pPr>
              <w:spacing w:before="0" w:after="0" w:line="264" w:lineRule="auto"/>
            </w:pPr>
            <w:r/>
            <w:r>
              <w:rPr>
                <w:rFonts w:ascii="Times New Roman" w:hAnsi="Times New Roman"/>
                <w:b w:val="0"/>
                <w:i w:val="0"/>
                <w:sz w:val="20"/>
              </w:rPr>
              <w:t>10</w:t>
            </w:r>
          </w:p>
        </w:tc>
        <w:tc>
          <w:tcPr>
            <w:tcW w:type="dxa" w:w="2351"/>
            <w:vAlign w:val="center"/>
          </w:tcPr>
          <w:p>
            <w:pPr>
              <w:spacing w:before="0" w:after="0" w:line="264" w:lineRule="auto"/>
            </w:pPr>
            <w:r/>
            <w:r>
              <w:rPr>
                <w:rFonts w:ascii="Times New Roman" w:hAnsi="Times New Roman"/>
                <w:b w:val="0"/>
                <w:i w:val="0"/>
                <w:sz w:val="20"/>
              </w:rPr>
              <w:t>Pre-specified axi-cel-only subset</w:t>
            </w:r>
          </w:p>
        </w:tc>
        <w:tc>
          <w:tcPr>
            <w:tcW w:type="dxa" w:w="2351"/>
            <w:vAlign w:val="center"/>
          </w:tcPr>
          <w:p>
            <w:pPr>
              <w:spacing w:before="0" w:after="0" w:line="264" w:lineRule="auto"/>
            </w:pPr>
            <w:r/>
            <w:r>
              <w:rPr>
                <w:rFonts w:ascii="Times New Roman" w:hAnsi="Times New Roman"/>
                <w:b w:val="0"/>
                <w:i w:val="0"/>
                <w:sz w:val="20"/>
              </w:rPr>
              <w:t>Pre-specified sensitivity analysis (same direction of effect)</w:t>
            </w:r>
          </w:p>
        </w:tc>
      </w:tr>
    </w:tbl>
    <w:p>
      <w:pPr>
        <w:spacing w:after="120"/>
      </w:pPr>
    </w:p>
    <w:p>
      <w:pPr>
        <w:spacing w:before="0" w:after="120" w:line="312" w:lineRule="auto"/>
        <w:jc w:val="both"/>
      </w:pPr>
      <w:r>
        <w:rPr>
          <w:rFonts w:ascii="Times New Roman" w:hAnsi="Times New Roman"/>
          <w:b w:val="0"/>
          <w:i w:val="0"/>
          <w:sz w:val="21"/>
        </w:rPr>
        <w:t xml:space="preserve">Effective sample sizes per analytical step. Three principal denominators: n = 57 (training set with paired baseline+D14 ctDNA), n = 54 (evaluable baseline ctDNA sample), and n = 44 (classifiable by </w:t>
      </w:r>
      <w:r>
        <w:rPr>
          <w:rFonts w:ascii="Consolas" w:hAnsi="Consolas"/>
          <w:sz w:val="21"/>
        </w:rPr>
        <w:t>predictClass</w:t>
      </w:r>
      <w:r>
        <w:rPr>
          <w:rFonts w:ascii="Times New Roman" w:hAnsi="Times New Roman"/>
          <w:b w:val="0"/>
          <w:i w:val="0"/>
          <w:sz w:val="21"/>
        </w:rPr>
        <w:t xml:space="preserve"> with complete covariates; 22 low-risk + 22 high-risk; used in all primary Cox and KM analyses). Lower subset sizes (n = 41, 38) reflect missingness in PET covariates or OS data. Note: Baseline MRD positivity is reported on two consistent denominators across the manuscript. (i) Cohort-wide: 50/54 = 92.6% (n = 54 with evaluable baseline ctDNA; supplemental Table S9). (ii) Classifiable subset (Table 1): 38/41 = 92.7% (n = 41 of the 44 classifiable patients had an evaluable baseline; 3 had baseline samples below QC threshold). The two rates reflect the same underlying MRD prevalence on different denominators.</w:t>
      </w:r>
    </w:p>
    <w:p>
      <w:pPr>
        <w:keepNext/>
        <w:spacing w:before="200" w:after="120" w:line="288" w:lineRule="auto"/>
      </w:pPr>
      <w:r>
        <w:rPr>
          <w:rFonts w:ascii="Times New Roman" w:hAnsi="Times New Roman"/>
          <w:b/>
          <w:i/>
          <w:sz w:val="26"/>
        </w:rPr>
        <w:t>Supplemental Table S16. C-index hierarchy across univariable and bivariable models</w:t>
      </w:r>
    </w:p>
    <w:tbl>
      <w:tblPr>
        <w:tblStyle w:val="TableGrid"/>
        <w:tblW w:type="auto" w:w="0"/>
        <w:tblLook w:firstColumn="1" w:firstRow="1" w:lastColumn="0" w:lastRow="0" w:noHBand="0" w:noVBand="1" w:val="04A0"/>
      </w:tblPr>
      <w:tblGrid>
        <w:gridCol w:w="2351"/>
        <w:gridCol w:w="2351"/>
        <w:gridCol w:w="2351"/>
        <w:gridCol w:w="2351"/>
      </w:tblGrid>
      <w:tr>
        <w:tc>
          <w:tcPr>
            <w:tcW w:type="dxa" w:w="2351"/>
            <w:vAlign w:val="center"/>
            <w:shd w:val="clear" w:color="auto" w:fill="E7E6E6"/>
          </w:tcPr>
          <w:p>
            <w:pPr>
              <w:spacing w:before="0" w:after="0" w:line="264" w:lineRule="auto"/>
            </w:pPr>
            <w:r/>
            <w:r>
              <w:rPr>
                <w:rFonts w:ascii="Times New Roman" w:hAnsi="Times New Roman"/>
                <w:b/>
                <w:i w:val="0"/>
                <w:sz w:val="20"/>
              </w:rPr>
              <w:t>model</w:t>
            </w:r>
          </w:p>
        </w:tc>
        <w:tc>
          <w:tcPr>
            <w:tcW w:type="dxa" w:w="2351"/>
            <w:vAlign w:val="center"/>
            <w:shd w:val="clear" w:color="auto" w:fill="E7E6E6"/>
          </w:tcPr>
          <w:p>
            <w:pPr>
              <w:spacing w:before="0" w:after="0" w:line="264" w:lineRule="auto"/>
            </w:pPr>
            <w:r/>
            <w:r>
              <w:rPr>
                <w:rFonts w:ascii="Times New Roman" w:hAnsi="Times New Roman"/>
                <w:b/>
                <w:i w:val="0"/>
                <w:sz w:val="20"/>
              </w:rPr>
              <w:t>n</w:t>
            </w:r>
          </w:p>
        </w:tc>
        <w:tc>
          <w:tcPr>
            <w:tcW w:type="dxa" w:w="2351"/>
            <w:vAlign w:val="center"/>
            <w:shd w:val="clear" w:color="auto" w:fill="E7E6E6"/>
          </w:tcPr>
          <w:p>
            <w:pPr>
              <w:spacing w:before="0" w:after="0" w:line="264" w:lineRule="auto"/>
            </w:pPr>
            <w:r/>
            <w:r>
              <w:rPr>
                <w:rFonts w:ascii="Times New Roman" w:hAnsi="Times New Roman"/>
                <w:b/>
                <w:i w:val="0"/>
                <w:sz w:val="20"/>
              </w:rPr>
              <w:t>c_index</w:t>
            </w:r>
          </w:p>
        </w:tc>
        <w:tc>
          <w:tcPr>
            <w:tcW w:type="dxa" w:w="2351"/>
            <w:vAlign w:val="center"/>
            <w:shd w:val="clear" w:color="auto" w:fill="E7E6E6"/>
          </w:tcPr>
          <w:p>
            <w:pPr>
              <w:spacing w:before="0" w:after="0" w:line="264" w:lineRule="auto"/>
            </w:pPr>
            <w:r/>
            <w:r>
              <w:rPr>
                <w:rFonts w:ascii="Times New Roman" w:hAnsi="Times New Roman"/>
                <w:b/>
                <w:i w:val="0"/>
                <w:sz w:val="20"/>
              </w:rPr>
              <w:t>c_index_se</w:t>
            </w:r>
          </w:p>
        </w:tc>
      </w:tr>
      <w:tr>
        <w:tc>
          <w:tcPr>
            <w:tcW w:type="dxa" w:w="2351"/>
            <w:vAlign w:val="center"/>
          </w:tcPr>
          <w:p>
            <w:pPr>
              <w:spacing w:before="0" w:after="0" w:line="264" w:lineRule="auto"/>
            </w:pPr>
            <w:r/>
            <w:r>
              <w:rPr>
                <w:rFonts w:ascii="Times New Roman" w:hAnsi="Times New Roman"/>
                <w:b w:val="0"/>
                <w:i w:val="0"/>
                <w:sz w:val="20"/>
              </w:rPr>
              <w:t>ctDNA-JLCM only (EFS)</w:t>
            </w:r>
          </w:p>
        </w:tc>
        <w:tc>
          <w:tcPr>
            <w:tcW w:type="dxa" w:w="2351"/>
            <w:vAlign w:val="center"/>
          </w:tcPr>
          <w:p>
            <w:pPr>
              <w:spacing w:before="0" w:after="0" w:line="264" w:lineRule="auto"/>
            </w:pPr>
            <w:r/>
            <w:r>
              <w:rPr>
                <w:rFonts w:ascii="Times New Roman" w:hAnsi="Times New Roman"/>
                <w:b w:val="0"/>
                <w:i w:val="0"/>
                <w:sz w:val="20"/>
              </w:rPr>
              <w:t>44</w:t>
            </w:r>
          </w:p>
        </w:tc>
        <w:tc>
          <w:tcPr>
            <w:tcW w:type="dxa" w:w="2351"/>
            <w:vAlign w:val="center"/>
          </w:tcPr>
          <w:p>
            <w:pPr>
              <w:spacing w:before="0" w:after="0" w:line="264" w:lineRule="auto"/>
            </w:pPr>
            <w:r/>
            <w:r>
              <w:rPr>
                <w:rFonts w:ascii="Times New Roman" w:hAnsi="Times New Roman"/>
                <w:b w:val="0"/>
                <w:i w:val="0"/>
                <w:sz w:val="20"/>
              </w:rPr>
              <w:t>0.808</w:t>
            </w:r>
          </w:p>
        </w:tc>
        <w:tc>
          <w:tcPr>
            <w:tcW w:type="dxa" w:w="2351"/>
            <w:vAlign w:val="center"/>
          </w:tcPr>
          <w:p>
            <w:pPr>
              <w:spacing w:before="0" w:after="0" w:line="264" w:lineRule="auto"/>
            </w:pPr>
            <w:r/>
            <w:r>
              <w:rPr>
                <w:rFonts w:ascii="Times New Roman" w:hAnsi="Times New Roman"/>
                <w:b w:val="0"/>
                <w:i w:val="0"/>
                <w:sz w:val="20"/>
              </w:rPr>
              <w:t>0.022</w:t>
            </w:r>
          </w:p>
        </w:tc>
      </w:tr>
      <w:tr>
        <w:tc>
          <w:tcPr>
            <w:tcW w:type="dxa" w:w="2351"/>
            <w:vAlign w:val="center"/>
          </w:tcPr>
          <w:p>
            <w:pPr>
              <w:spacing w:before="0" w:after="0" w:line="264" w:lineRule="auto"/>
            </w:pPr>
            <w:r/>
            <w:r>
              <w:rPr>
                <w:rFonts w:ascii="Times New Roman" w:hAnsi="Times New Roman"/>
                <w:b w:val="0"/>
                <w:i w:val="0"/>
                <w:sz w:val="20"/>
              </w:rPr>
              <w:t>Deauville_D14 only (EFS)</w:t>
            </w:r>
          </w:p>
        </w:tc>
        <w:tc>
          <w:tcPr>
            <w:tcW w:type="dxa" w:w="2351"/>
            <w:vAlign w:val="center"/>
          </w:tcPr>
          <w:p>
            <w:pPr>
              <w:spacing w:before="0" w:after="0" w:line="264" w:lineRule="auto"/>
            </w:pPr>
            <w:r/>
            <w:r>
              <w:rPr>
                <w:rFonts w:ascii="Times New Roman" w:hAnsi="Times New Roman"/>
                <w:b w:val="0"/>
                <w:i w:val="0"/>
                <w:sz w:val="20"/>
              </w:rPr>
              <w:t>52</w:t>
            </w:r>
          </w:p>
        </w:tc>
        <w:tc>
          <w:tcPr>
            <w:tcW w:type="dxa" w:w="2351"/>
            <w:vAlign w:val="center"/>
          </w:tcPr>
          <w:p>
            <w:pPr>
              <w:spacing w:before="0" w:after="0" w:line="264" w:lineRule="auto"/>
            </w:pPr>
            <w:r/>
            <w:r>
              <w:rPr>
                <w:rFonts w:ascii="Times New Roman" w:hAnsi="Times New Roman"/>
                <w:b w:val="0"/>
                <w:i w:val="0"/>
                <w:sz w:val="20"/>
              </w:rPr>
              <w:t>0.506</w:t>
            </w:r>
          </w:p>
        </w:tc>
        <w:tc>
          <w:tcPr>
            <w:tcW w:type="dxa" w:w="2351"/>
            <w:vAlign w:val="center"/>
          </w:tcPr>
          <w:p>
            <w:pPr>
              <w:spacing w:before="0" w:after="0" w:line="264" w:lineRule="auto"/>
            </w:pPr>
            <w:r/>
            <w:r>
              <w:rPr>
                <w:rFonts w:ascii="Times New Roman" w:hAnsi="Times New Roman"/>
                <w:b w:val="0"/>
                <w:i w:val="0"/>
                <w:sz w:val="20"/>
              </w:rPr>
              <w:t>0.045</w:t>
            </w:r>
          </w:p>
        </w:tc>
      </w:tr>
      <w:tr>
        <w:tc>
          <w:tcPr>
            <w:tcW w:type="dxa" w:w="2351"/>
            <w:vAlign w:val="center"/>
          </w:tcPr>
          <w:p>
            <w:pPr>
              <w:spacing w:before="0" w:after="0" w:line="264" w:lineRule="auto"/>
            </w:pPr>
            <w:r/>
            <w:r>
              <w:rPr>
                <w:rFonts w:ascii="Times New Roman" w:hAnsi="Times New Roman"/>
                <w:b w:val="0"/>
                <w:i w:val="0"/>
                <w:sz w:val="20"/>
              </w:rPr>
              <w:t>Lugano_D14 only (EFS)</w:t>
            </w:r>
          </w:p>
        </w:tc>
        <w:tc>
          <w:tcPr>
            <w:tcW w:type="dxa" w:w="2351"/>
            <w:vAlign w:val="center"/>
          </w:tcPr>
          <w:p>
            <w:pPr>
              <w:spacing w:before="0" w:after="0" w:line="264" w:lineRule="auto"/>
            </w:pPr>
            <w:r/>
            <w:r>
              <w:rPr>
                <w:rFonts w:ascii="Times New Roman" w:hAnsi="Times New Roman"/>
                <w:b w:val="0"/>
                <w:i w:val="0"/>
                <w:sz w:val="20"/>
              </w:rPr>
              <w:t>52</w:t>
            </w:r>
          </w:p>
        </w:tc>
        <w:tc>
          <w:tcPr>
            <w:tcW w:type="dxa" w:w="2351"/>
            <w:vAlign w:val="center"/>
          </w:tcPr>
          <w:p>
            <w:pPr>
              <w:spacing w:before="0" w:after="0" w:line="264" w:lineRule="auto"/>
            </w:pPr>
            <w:r/>
            <w:r>
              <w:rPr>
                <w:rFonts w:ascii="Times New Roman" w:hAnsi="Times New Roman"/>
                <w:b w:val="0"/>
                <w:i w:val="0"/>
                <w:sz w:val="20"/>
              </w:rPr>
              <w:t>0.506</w:t>
            </w:r>
          </w:p>
        </w:tc>
        <w:tc>
          <w:tcPr>
            <w:tcW w:type="dxa" w:w="2351"/>
            <w:vAlign w:val="center"/>
          </w:tcPr>
          <w:p>
            <w:pPr>
              <w:spacing w:before="0" w:after="0" w:line="264" w:lineRule="auto"/>
            </w:pPr>
            <w:r/>
            <w:r>
              <w:rPr>
                <w:rFonts w:ascii="Times New Roman" w:hAnsi="Times New Roman"/>
                <w:b w:val="0"/>
                <w:i w:val="0"/>
                <w:sz w:val="20"/>
              </w:rPr>
              <w:t>0.045</w:t>
            </w:r>
          </w:p>
        </w:tc>
      </w:tr>
      <w:tr>
        <w:tc>
          <w:tcPr>
            <w:tcW w:type="dxa" w:w="2351"/>
            <w:vAlign w:val="center"/>
          </w:tcPr>
          <w:p>
            <w:pPr>
              <w:spacing w:before="0" w:after="0" w:line="264" w:lineRule="auto"/>
            </w:pPr>
            <w:r/>
            <w:r>
              <w:rPr>
                <w:rFonts w:ascii="Times New Roman" w:hAnsi="Times New Roman"/>
                <w:b w:val="0"/>
                <w:i w:val="0"/>
                <w:sz w:val="20"/>
              </w:rPr>
              <w:t>ctDNA-JLCM + Deauville_D14 (EFS)</w:t>
            </w:r>
          </w:p>
        </w:tc>
        <w:tc>
          <w:tcPr>
            <w:tcW w:type="dxa" w:w="2351"/>
            <w:vAlign w:val="center"/>
          </w:tcPr>
          <w:p>
            <w:pPr>
              <w:spacing w:before="0" w:after="0" w:line="264" w:lineRule="auto"/>
            </w:pPr>
            <w:r/>
            <w:r>
              <w:rPr>
                <w:rFonts w:ascii="Times New Roman" w:hAnsi="Times New Roman"/>
                <w:b w:val="0"/>
                <w:i w:val="0"/>
                <w:sz w:val="20"/>
              </w:rPr>
              <w:t>41</w:t>
            </w:r>
          </w:p>
        </w:tc>
        <w:tc>
          <w:tcPr>
            <w:tcW w:type="dxa" w:w="2351"/>
            <w:vAlign w:val="center"/>
          </w:tcPr>
          <w:p>
            <w:pPr>
              <w:spacing w:before="0" w:after="0" w:line="264" w:lineRule="auto"/>
            </w:pPr>
            <w:r/>
            <w:r>
              <w:rPr>
                <w:rFonts w:ascii="Times New Roman" w:hAnsi="Times New Roman"/>
                <w:b w:val="0"/>
                <w:i w:val="0"/>
                <w:sz w:val="20"/>
              </w:rPr>
              <w:t>0.817</w:t>
            </w:r>
          </w:p>
        </w:tc>
        <w:tc>
          <w:tcPr>
            <w:tcW w:type="dxa" w:w="2351"/>
            <w:vAlign w:val="center"/>
          </w:tcPr>
          <w:p>
            <w:pPr>
              <w:spacing w:before="0" w:after="0" w:line="264" w:lineRule="auto"/>
            </w:pPr>
            <w:r/>
            <w:r>
              <w:rPr>
                <w:rFonts w:ascii="Times New Roman" w:hAnsi="Times New Roman"/>
                <w:b w:val="0"/>
                <w:i w:val="0"/>
                <w:sz w:val="20"/>
              </w:rPr>
              <w:t>0.03</w:t>
            </w:r>
          </w:p>
        </w:tc>
      </w:tr>
      <w:tr>
        <w:tc>
          <w:tcPr>
            <w:tcW w:type="dxa" w:w="2351"/>
            <w:vAlign w:val="center"/>
          </w:tcPr>
          <w:p>
            <w:pPr>
              <w:spacing w:before="0" w:after="0" w:line="264" w:lineRule="auto"/>
            </w:pPr>
            <w:r/>
            <w:r>
              <w:rPr>
                <w:rFonts w:ascii="Times New Roman" w:hAnsi="Times New Roman"/>
                <w:b w:val="0"/>
                <w:i w:val="0"/>
                <w:sz w:val="20"/>
              </w:rPr>
              <w:t>ctDNA-JLCM + Lugano_D14 (EFS)</w:t>
            </w:r>
          </w:p>
        </w:tc>
        <w:tc>
          <w:tcPr>
            <w:tcW w:type="dxa" w:w="2351"/>
            <w:vAlign w:val="center"/>
          </w:tcPr>
          <w:p>
            <w:pPr>
              <w:spacing w:before="0" w:after="0" w:line="264" w:lineRule="auto"/>
            </w:pPr>
            <w:r/>
            <w:r>
              <w:rPr>
                <w:rFonts w:ascii="Times New Roman" w:hAnsi="Times New Roman"/>
                <w:b w:val="0"/>
                <w:i w:val="0"/>
                <w:sz w:val="20"/>
              </w:rPr>
              <w:t>41</w:t>
            </w:r>
          </w:p>
        </w:tc>
        <w:tc>
          <w:tcPr>
            <w:tcW w:type="dxa" w:w="2351"/>
            <w:vAlign w:val="center"/>
          </w:tcPr>
          <w:p>
            <w:pPr>
              <w:spacing w:before="0" w:after="0" w:line="264" w:lineRule="auto"/>
            </w:pPr>
            <w:r/>
            <w:r>
              <w:rPr>
                <w:rFonts w:ascii="Times New Roman" w:hAnsi="Times New Roman"/>
                <w:b w:val="0"/>
                <w:i w:val="0"/>
                <w:sz w:val="20"/>
              </w:rPr>
              <w:t>0.817</w:t>
            </w:r>
          </w:p>
        </w:tc>
        <w:tc>
          <w:tcPr>
            <w:tcW w:type="dxa" w:w="2351"/>
            <w:vAlign w:val="center"/>
          </w:tcPr>
          <w:p>
            <w:pPr>
              <w:spacing w:before="0" w:after="0" w:line="264" w:lineRule="auto"/>
            </w:pPr>
            <w:r/>
            <w:r>
              <w:rPr>
                <w:rFonts w:ascii="Times New Roman" w:hAnsi="Times New Roman"/>
                <w:b w:val="0"/>
                <w:i w:val="0"/>
                <w:sz w:val="20"/>
              </w:rPr>
              <w:t>0.03</w:t>
            </w:r>
          </w:p>
        </w:tc>
      </w:tr>
      <w:tr>
        <w:tc>
          <w:tcPr>
            <w:tcW w:type="dxa" w:w="2351"/>
            <w:vAlign w:val="center"/>
          </w:tcPr>
          <w:p>
            <w:pPr>
              <w:spacing w:before="0" w:after="0" w:line="264" w:lineRule="auto"/>
            </w:pPr>
            <w:r/>
            <w:r>
              <w:rPr>
                <w:rFonts w:ascii="Times New Roman" w:hAnsi="Times New Roman"/>
                <w:b w:val="0"/>
                <w:i w:val="0"/>
                <w:sz w:val="20"/>
              </w:rPr>
              <w:t>Deauville-JLCM only (EFS)</w:t>
            </w:r>
          </w:p>
        </w:tc>
        <w:tc>
          <w:tcPr>
            <w:tcW w:type="dxa" w:w="2351"/>
            <w:vAlign w:val="center"/>
          </w:tcPr>
          <w:p>
            <w:pPr>
              <w:spacing w:before="0" w:after="0" w:line="264" w:lineRule="auto"/>
            </w:pPr>
            <w:r/>
            <w:r>
              <w:rPr>
                <w:rFonts w:ascii="Times New Roman" w:hAnsi="Times New Roman"/>
                <w:b w:val="0"/>
                <w:i w:val="0"/>
                <w:sz w:val="20"/>
              </w:rPr>
              <w:t>55</w:t>
            </w:r>
          </w:p>
        </w:tc>
        <w:tc>
          <w:tcPr>
            <w:tcW w:type="dxa" w:w="2351"/>
            <w:vAlign w:val="center"/>
          </w:tcPr>
          <w:p>
            <w:pPr>
              <w:spacing w:before="0" w:after="0" w:line="264" w:lineRule="auto"/>
            </w:pPr>
            <w:r/>
            <w:r>
              <w:rPr>
                <w:rFonts w:ascii="Times New Roman" w:hAnsi="Times New Roman"/>
                <w:b w:val="0"/>
                <w:i w:val="0"/>
                <w:sz w:val="20"/>
              </w:rPr>
              <w:t>0.557</w:t>
            </w:r>
          </w:p>
        </w:tc>
        <w:tc>
          <w:tcPr>
            <w:tcW w:type="dxa" w:w="2351"/>
            <w:vAlign w:val="center"/>
          </w:tcPr>
          <w:p>
            <w:pPr>
              <w:spacing w:before="0" w:after="0" w:line="264" w:lineRule="auto"/>
            </w:pPr>
            <w:r/>
            <w:r>
              <w:rPr>
                <w:rFonts w:ascii="Times New Roman" w:hAnsi="Times New Roman"/>
                <w:b w:val="0"/>
                <w:i w:val="0"/>
                <w:sz w:val="20"/>
              </w:rPr>
              <w:t>0.038</w:t>
            </w:r>
          </w:p>
        </w:tc>
      </w:tr>
      <w:tr>
        <w:tc>
          <w:tcPr>
            <w:tcW w:type="dxa" w:w="2351"/>
            <w:vAlign w:val="center"/>
          </w:tcPr>
          <w:p>
            <w:pPr>
              <w:spacing w:before="0" w:after="0" w:line="264" w:lineRule="auto"/>
            </w:pPr>
            <w:r/>
            <w:r>
              <w:rPr>
                <w:rFonts w:ascii="Times New Roman" w:hAnsi="Times New Roman"/>
                <w:b w:val="0"/>
                <w:i w:val="0"/>
                <w:sz w:val="20"/>
              </w:rPr>
              <w:t>ctDNA-JLCM + Deauville-JLCM (EFS)</w:t>
            </w:r>
          </w:p>
        </w:tc>
        <w:tc>
          <w:tcPr>
            <w:tcW w:type="dxa" w:w="2351"/>
            <w:vAlign w:val="center"/>
          </w:tcPr>
          <w:p>
            <w:pPr>
              <w:spacing w:before="0" w:after="0" w:line="264" w:lineRule="auto"/>
            </w:pPr>
            <w:r/>
            <w:r>
              <w:rPr>
                <w:rFonts w:ascii="Times New Roman" w:hAnsi="Times New Roman"/>
                <w:b w:val="0"/>
                <w:i w:val="0"/>
                <w:sz w:val="20"/>
              </w:rPr>
              <w:t>44</w:t>
            </w:r>
          </w:p>
        </w:tc>
        <w:tc>
          <w:tcPr>
            <w:tcW w:type="dxa" w:w="2351"/>
            <w:vAlign w:val="center"/>
          </w:tcPr>
          <w:p>
            <w:pPr>
              <w:spacing w:before="0" w:after="0" w:line="264" w:lineRule="auto"/>
            </w:pPr>
            <w:r/>
            <w:r>
              <w:rPr>
                <w:rFonts w:ascii="Times New Roman" w:hAnsi="Times New Roman"/>
                <w:b w:val="0"/>
                <w:i w:val="0"/>
                <w:sz w:val="20"/>
              </w:rPr>
              <w:t>0.824</w:t>
            </w:r>
          </w:p>
        </w:tc>
        <w:tc>
          <w:tcPr>
            <w:tcW w:type="dxa" w:w="2351"/>
            <w:vAlign w:val="center"/>
          </w:tcPr>
          <w:p>
            <w:pPr>
              <w:spacing w:before="0" w:after="0" w:line="264" w:lineRule="auto"/>
            </w:pPr>
            <w:r/>
            <w:r>
              <w:rPr>
                <w:rFonts w:ascii="Times New Roman" w:hAnsi="Times New Roman"/>
                <w:b w:val="0"/>
                <w:i w:val="0"/>
                <w:sz w:val="20"/>
              </w:rPr>
              <w:t>0.03</w:t>
            </w:r>
          </w:p>
        </w:tc>
      </w:tr>
      <w:tr>
        <w:tc>
          <w:tcPr>
            <w:tcW w:type="dxa" w:w="2351"/>
            <w:vAlign w:val="center"/>
          </w:tcPr>
          <w:p>
            <w:pPr>
              <w:spacing w:before="0" w:after="0" w:line="264" w:lineRule="auto"/>
            </w:pPr>
            <w:r/>
            <w:r>
              <w:rPr>
                <w:rFonts w:ascii="Times New Roman" w:hAnsi="Times New Roman"/>
                <w:b w:val="0"/>
                <w:i w:val="0"/>
                <w:sz w:val="20"/>
              </w:rPr>
              <w:t>ctDNA-JLCM only (OS)</w:t>
            </w:r>
          </w:p>
        </w:tc>
        <w:tc>
          <w:tcPr>
            <w:tcW w:type="dxa" w:w="2351"/>
            <w:vAlign w:val="center"/>
          </w:tcPr>
          <w:p>
            <w:pPr>
              <w:spacing w:before="0" w:after="0" w:line="264" w:lineRule="auto"/>
            </w:pPr>
            <w:r/>
            <w:r>
              <w:rPr>
                <w:rFonts w:ascii="Times New Roman" w:hAnsi="Times New Roman"/>
                <w:b w:val="0"/>
                <w:i w:val="0"/>
                <w:sz w:val="20"/>
              </w:rPr>
              <w:t>41</w:t>
            </w:r>
          </w:p>
        </w:tc>
        <w:tc>
          <w:tcPr>
            <w:tcW w:type="dxa" w:w="2351"/>
            <w:vAlign w:val="center"/>
          </w:tcPr>
          <w:p>
            <w:pPr>
              <w:spacing w:before="0" w:after="0" w:line="264" w:lineRule="auto"/>
            </w:pPr>
            <w:r/>
            <w:r>
              <w:rPr>
                <w:rFonts w:ascii="Times New Roman" w:hAnsi="Times New Roman"/>
                <w:b w:val="0"/>
                <w:i w:val="0"/>
                <w:sz w:val="20"/>
              </w:rPr>
              <w:t>0.788</w:t>
            </w:r>
          </w:p>
        </w:tc>
        <w:tc>
          <w:tcPr>
            <w:tcW w:type="dxa" w:w="2351"/>
            <w:vAlign w:val="center"/>
          </w:tcPr>
          <w:p>
            <w:pPr>
              <w:spacing w:before="0" w:after="0" w:line="264" w:lineRule="auto"/>
            </w:pPr>
            <w:r/>
            <w:r>
              <w:rPr>
                <w:rFonts w:ascii="Times New Roman" w:hAnsi="Times New Roman"/>
                <w:b w:val="0"/>
                <w:i w:val="0"/>
                <w:sz w:val="20"/>
              </w:rPr>
              <w:t>0.038</w:t>
            </w:r>
          </w:p>
        </w:tc>
      </w:tr>
      <w:tr>
        <w:tc>
          <w:tcPr>
            <w:tcW w:type="dxa" w:w="2351"/>
            <w:vAlign w:val="center"/>
          </w:tcPr>
          <w:p>
            <w:pPr>
              <w:spacing w:before="0" w:after="0" w:line="264" w:lineRule="auto"/>
            </w:pPr>
            <w:r/>
            <w:r>
              <w:rPr>
                <w:rFonts w:ascii="Times New Roman" w:hAnsi="Times New Roman"/>
                <w:b w:val="0"/>
                <w:i w:val="0"/>
                <w:sz w:val="20"/>
              </w:rPr>
              <w:t>Deauville_D14 only (OS)</w:t>
            </w:r>
          </w:p>
        </w:tc>
        <w:tc>
          <w:tcPr>
            <w:tcW w:type="dxa" w:w="2351"/>
            <w:vAlign w:val="center"/>
          </w:tcPr>
          <w:p>
            <w:pPr>
              <w:spacing w:before="0" w:after="0" w:line="264" w:lineRule="auto"/>
            </w:pPr>
            <w:r/>
            <w:r>
              <w:rPr>
                <w:rFonts w:ascii="Times New Roman" w:hAnsi="Times New Roman"/>
                <w:b w:val="0"/>
                <w:i w:val="0"/>
                <w:sz w:val="20"/>
              </w:rPr>
              <w:t>49</w:t>
            </w:r>
          </w:p>
        </w:tc>
        <w:tc>
          <w:tcPr>
            <w:tcW w:type="dxa" w:w="2351"/>
            <w:vAlign w:val="center"/>
          </w:tcPr>
          <w:p>
            <w:pPr>
              <w:spacing w:before="0" w:after="0" w:line="264" w:lineRule="auto"/>
            </w:pPr>
            <w:r/>
            <w:r>
              <w:rPr>
                <w:rFonts w:ascii="Times New Roman" w:hAnsi="Times New Roman"/>
                <w:b w:val="0"/>
                <w:i w:val="0"/>
                <w:sz w:val="20"/>
              </w:rPr>
              <w:t>0.571</w:t>
            </w:r>
          </w:p>
        </w:tc>
        <w:tc>
          <w:tcPr>
            <w:tcW w:type="dxa" w:w="2351"/>
            <w:vAlign w:val="center"/>
          </w:tcPr>
          <w:p>
            <w:pPr>
              <w:spacing w:before="0" w:after="0" w:line="264" w:lineRule="auto"/>
            </w:pPr>
            <w:r/>
            <w:r>
              <w:rPr>
                <w:rFonts w:ascii="Times New Roman" w:hAnsi="Times New Roman"/>
                <w:b w:val="0"/>
                <w:i w:val="0"/>
                <w:sz w:val="20"/>
              </w:rPr>
              <w:t>0.051</w:t>
            </w:r>
          </w:p>
        </w:tc>
      </w:tr>
      <w:tr>
        <w:tc>
          <w:tcPr>
            <w:tcW w:type="dxa" w:w="2351"/>
            <w:vAlign w:val="center"/>
          </w:tcPr>
          <w:p>
            <w:pPr>
              <w:spacing w:before="0" w:after="0" w:line="264" w:lineRule="auto"/>
            </w:pPr>
            <w:r/>
            <w:r>
              <w:rPr>
                <w:rFonts w:ascii="Times New Roman" w:hAnsi="Times New Roman"/>
                <w:b w:val="0"/>
                <w:i w:val="0"/>
                <w:sz w:val="20"/>
              </w:rPr>
              <w:t>Lugano_D14 only (OS)</w:t>
            </w:r>
          </w:p>
        </w:tc>
        <w:tc>
          <w:tcPr>
            <w:tcW w:type="dxa" w:w="2351"/>
            <w:vAlign w:val="center"/>
          </w:tcPr>
          <w:p>
            <w:pPr>
              <w:spacing w:before="0" w:after="0" w:line="264" w:lineRule="auto"/>
            </w:pPr>
            <w:r/>
            <w:r>
              <w:rPr>
                <w:rFonts w:ascii="Times New Roman" w:hAnsi="Times New Roman"/>
                <w:b w:val="0"/>
                <w:i w:val="0"/>
                <w:sz w:val="20"/>
              </w:rPr>
              <w:t>49</w:t>
            </w:r>
          </w:p>
        </w:tc>
        <w:tc>
          <w:tcPr>
            <w:tcW w:type="dxa" w:w="2351"/>
            <w:vAlign w:val="center"/>
          </w:tcPr>
          <w:p>
            <w:pPr>
              <w:spacing w:before="0" w:after="0" w:line="264" w:lineRule="auto"/>
            </w:pPr>
            <w:r/>
            <w:r>
              <w:rPr>
                <w:rFonts w:ascii="Times New Roman" w:hAnsi="Times New Roman"/>
                <w:b w:val="0"/>
                <w:i w:val="0"/>
                <w:sz w:val="20"/>
              </w:rPr>
              <w:t>0.571</w:t>
            </w:r>
          </w:p>
        </w:tc>
        <w:tc>
          <w:tcPr>
            <w:tcW w:type="dxa" w:w="2351"/>
            <w:vAlign w:val="center"/>
          </w:tcPr>
          <w:p>
            <w:pPr>
              <w:spacing w:before="0" w:after="0" w:line="264" w:lineRule="auto"/>
            </w:pPr>
            <w:r/>
            <w:r>
              <w:rPr>
                <w:rFonts w:ascii="Times New Roman" w:hAnsi="Times New Roman"/>
                <w:b w:val="0"/>
                <w:i w:val="0"/>
                <w:sz w:val="20"/>
              </w:rPr>
              <w:t>0.051</w:t>
            </w:r>
          </w:p>
        </w:tc>
      </w:tr>
      <w:tr>
        <w:tc>
          <w:tcPr>
            <w:tcW w:type="dxa" w:w="2351"/>
            <w:vAlign w:val="center"/>
          </w:tcPr>
          <w:p>
            <w:pPr>
              <w:spacing w:before="0" w:after="0" w:line="264" w:lineRule="auto"/>
            </w:pPr>
            <w:r/>
            <w:r>
              <w:rPr>
                <w:rFonts w:ascii="Times New Roman" w:hAnsi="Times New Roman"/>
                <w:b w:val="0"/>
                <w:i w:val="0"/>
                <w:sz w:val="20"/>
              </w:rPr>
              <w:t>ctDNA-JLCM + Deauville_D14 (OS)</w:t>
            </w:r>
          </w:p>
        </w:tc>
        <w:tc>
          <w:tcPr>
            <w:tcW w:type="dxa" w:w="2351"/>
            <w:vAlign w:val="center"/>
          </w:tcPr>
          <w:p>
            <w:pPr>
              <w:spacing w:before="0" w:after="0" w:line="264" w:lineRule="auto"/>
            </w:pPr>
            <w:r/>
            <w:r>
              <w:rPr>
                <w:rFonts w:ascii="Times New Roman" w:hAnsi="Times New Roman"/>
                <w:b w:val="0"/>
                <w:i w:val="0"/>
                <w:sz w:val="20"/>
              </w:rPr>
              <w:t>38</w:t>
            </w:r>
          </w:p>
        </w:tc>
        <w:tc>
          <w:tcPr>
            <w:tcW w:type="dxa" w:w="2351"/>
            <w:vAlign w:val="center"/>
          </w:tcPr>
          <w:p>
            <w:pPr>
              <w:spacing w:before="0" w:after="0" w:line="264" w:lineRule="auto"/>
            </w:pPr>
            <w:r/>
            <w:r>
              <w:rPr>
                <w:rFonts w:ascii="Times New Roman" w:hAnsi="Times New Roman"/>
                <w:b w:val="0"/>
                <w:i w:val="0"/>
                <w:sz w:val="20"/>
              </w:rPr>
              <w:t>0.802</w:t>
            </w:r>
          </w:p>
        </w:tc>
        <w:tc>
          <w:tcPr>
            <w:tcW w:type="dxa" w:w="2351"/>
            <w:vAlign w:val="center"/>
          </w:tcPr>
          <w:p>
            <w:pPr>
              <w:spacing w:before="0" w:after="0" w:line="264" w:lineRule="auto"/>
            </w:pPr>
            <w:r/>
            <w:r>
              <w:rPr>
                <w:rFonts w:ascii="Times New Roman" w:hAnsi="Times New Roman"/>
                <w:b w:val="0"/>
                <w:i w:val="0"/>
                <w:sz w:val="20"/>
              </w:rPr>
              <w:t>0.043</w:t>
            </w:r>
          </w:p>
        </w:tc>
      </w:tr>
      <w:tr>
        <w:tc>
          <w:tcPr>
            <w:tcW w:type="dxa" w:w="2351"/>
            <w:vAlign w:val="center"/>
          </w:tcPr>
          <w:p>
            <w:pPr>
              <w:spacing w:before="0" w:after="0" w:line="264" w:lineRule="auto"/>
            </w:pPr>
            <w:r/>
            <w:r>
              <w:rPr>
                <w:rFonts w:ascii="Times New Roman" w:hAnsi="Times New Roman"/>
                <w:b w:val="0"/>
                <w:i w:val="0"/>
                <w:sz w:val="20"/>
              </w:rPr>
              <w:t>ctDNA-JLCM + Lugano_D14 (OS)</w:t>
            </w:r>
          </w:p>
        </w:tc>
        <w:tc>
          <w:tcPr>
            <w:tcW w:type="dxa" w:w="2351"/>
            <w:vAlign w:val="center"/>
          </w:tcPr>
          <w:p>
            <w:pPr>
              <w:spacing w:before="0" w:after="0" w:line="264" w:lineRule="auto"/>
            </w:pPr>
            <w:r/>
            <w:r>
              <w:rPr>
                <w:rFonts w:ascii="Times New Roman" w:hAnsi="Times New Roman"/>
                <w:b w:val="0"/>
                <w:i w:val="0"/>
                <w:sz w:val="20"/>
              </w:rPr>
              <w:t>38</w:t>
            </w:r>
          </w:p>
        </w:tc>
        <w:tc>
          <w:tcPr>
            <w:tcW w:type="dxa" w:w="2351"/>
            <w:vAlign w:val="center"/>
          </w:tcPr>
          <w:p>
            <w:pPr>
              <w:spacing w:before="0" w:after="0" w:line="264" w:lineRule="auto"/>
            </w:pPr>
            <w:r/>
            <w:r>
              <w:rPr>
                <w:rFonts w:ascii="Times New Roman" w:hAnsi="Times New Roman"/>
                <w:b w:val="0"/>
                <w:i w:val="0"/>
                <w:sz w:val="20"/>
              </w:rPr>
              <w:t>0.802</w:t>
            </w:r>
          </w:p>
        </w:tc>
        <w:tc>
          <w:tcPr>
            <w:tcW w:type="dxa" w:w="2351"/>
            <w:vAlign w:val="center"/>
          </w:tcPr>
          <w:p>
            <w:pPr>
              <w:spacing w:before="0" w:after="0" w:line="264" w:lineRule="auto"/>
            </w:pPr>
            <w:r/>
            <w:r>
              <w:rPr>
                <w:rFonts w:ascii="Times New Roman" w:hAnsi="Times New Roman"/>
                <w:b w:val="0"/>
                <w:i w:val="0"/>
                <w:sz w:val="20"/>
              </w:rPr>
              <w:t>0.043</w:t>
            </w:r>
          </w:p>
        </w:tc>
      </w:tr>
      <w:tr>
        <w:tc>
          <w:tcPr>
            <w:tcW w:type="dxa" w:w="2351"/>
            <w:vAlign w:val="center"/>
          </w:tcPr>
          <w:p>
            <w:pPr>
              <w:spacing w:before="0" w:after="0" w:line="264" w:lineRule="auto"/>
            </w:pPr>
            <w:r/>
            <w:r>
              <w:rPr>
                <w:rFonts w:ascii="Times New Roman" w:hAnsi="Times New Roman"/>
                <w:b w:val="0"/>
                <w:i w:val="0"/>
                <w:sz w:val="20"/>
              </w:rPr>
              <w:t>Deauville-JLCM only (OS)</w:t>
            </w:r>
          </w:p>
        </w:tc>
        <w:tc>
          <w:tcPr>
            <w:tcW w:type="dxa" w:w="2351"/>
            <w:vAlign w:val="center"/>
          </w:tcPr>
          <w:p>
            <w:pPr>
              <w:spacing w:before="0" w:after="0" w:line="264" w:lineRule="auto"/>
            </w:pPr>
            <w:r/>
            <w:r>
              <w:rPr>
                <w:rFonts w:ascii="Times New Roman" w:hAnsi="Times New Roman"/>
                <w:b w:val="0"/>
                <w:i w:val="0"/>
                <w:sz w:val="20"/>
              </w:rPr>
              <w:t>52</w:t>
            </w:r>
          </w:p>
        </w:tc>
        <w:tc>
          <w:tcPr>
            <w:tcW w:type="dxa" w:w="2351"/>
            <w:vAlign w:val="center"/>
          </w:tcPr>
          <w:p>
            <w:pPr>
              <w:spacing w:before="0" w:after="0" w:line="264" w:lineRule="auto"/>
            </w:pPr>
            <w:r/>
            <w:r>
              <w:rPr>
                <w:rFonts w:ascii="Times New Roman" w:hAnsi="Times New Roman"/>
                <w:b w:val="0"/>
                <w:i w:val="0"/>
                <w:sz w:val="20"/>
              </w:rPr>
              <w:t>0.518</w:t>
            </w:r>
          </w:p>
        </w:tc>
        <w:tc>
          <w:tcPr>
            <w:tcW w:type="dxa" w:w="2351"/>
            <w:vAlign w:val="center"/>
          </w:tcPr>
          <w:p>
            <w:pPr>
              <w:spacing w:before="0" w:after="0" w:line="264" w:lineRule="auto"/>
            </w:pPr>
            <w:r/>
            <w:r>
              <w:rPr>
                <w:rFonts w:ascii="Times New Roman" w:hAnsi="Times New Roman"/>
                <w:b w:val="0"/>
                <w:i w:val="0"/>
                <w:sz w:val="20"/>
              </w:rPr>
              <w:t>0.046</w:t>
            </w:r>
          </w:p>
        </w:tc>
      </w:tr>
      <w:tr>
        <w:tc>
          <w:tcPr>
            <w:tcW w:type="dxa" w:w="2351"/>
            <w:vAlign w:val="center"/>
          </w:tcPr>
          <w:p>
            <w:pPr>
              <w:spacing w:before="0" w:after="0" w:line="264" w:lineRule="auto"/>
            </w:pPr>
            <w:r/>
            <w:r>
              <w:rPr>
                <w:rFonts w:ascii="Times New Roman" w:hAnsi="Times New Roman"/>
                <w:b w:val="0"/>
                <w:i w:val="0"/>
                <w:sz w:val="20"/>
              </w:rPr>
              <w:t>ctDNA-JLCM + Deauville-JLCM (OS)</w:t>
            </w:r>
          </w:p>
        </w:tc>
        <w:tc>
          <w:tcPr>
            <w:tcW w:type="dxa" w:w="2351"/>
            <w:vAlign w:val="center"/>
          </w:tcPr>
          <w:p>
            <w:pPr>
              <w:spacing w:before="0" w:after="0" w:line="264" w:lineRule="auto"/>
            </w:pPr>
            <w:r/>
            <w:r>
              <w:rPr>
                <w:rFonts w:ascii="Times New Roman" w:hAnsi="Times New Roman"/>
                <w:b w:val="0"/>
                <w:i w:val="0"/>
                <w:sz w:val="20"/>
              </w:rPr>
              <w:t>41</w:t>
            </w:r>
          </w:p>
        </w:tc>
        <w:tc>
          <w:tcPr>
            <w:tcW w:type="dxa" w:w="2351"/>
            <w:vAlign w:val="center"/>
          </w:tcPr>
          <w:p>
            <w:pPr>
              <w:spacing w:before="0" w:after="0" w:line="264" w:lineRule="auto"/>
            </w:pPr>
            <w:r/>
            <w:r>
              <w:rPr>
                <w:rFonts w:ascii="Times New Roman" w:hAnsi="Times New Roman"/>
                <w:b w:val="0"/>
                <w:i w:val="0"/>
                <w:sz w:val="20"/>
              </w:rPr>
              <w:t>0.827</w:t>
            </w:r>
          </w:p>
        </w:tc>
        <w:tc>
          <w:tcPr>
            <w:tcW w:type="dxa" w:w="2351"/>
            <w:vAlign w:val="center"/>
          </w:tcPr>
          <w:p>
            <w:pPr>
              <w:spacing w:before="0" w:after="0" w:line="264" w:lineRule="auto"/>
            </w:pPr>
            <w:r/>
            <w:r>
              <w:rPr>
                <w:rFonts w:ascii="Times New Roman" w:hAnsi="Times New Roman"/>
                <w:b w:val="0"/>
                <w:i w:val="0"/>
                <w:sz w:val="20"/>
              </w:rPr>
              <w:t>0.038</w:t>
            </w:r>
          </w:p>
        </w:tc>
      </w:tr>
    </w:tbl>
    <w:p>
      <w:pPr>
        <w:spacing w:after="120"/>
      </w:pPr>
    </w:p>
    <w:p>
      <w:pPr>
        <w:spacing w:before="0" w:after="120" w:line="312" w:lineRule="auto"/>
        <w:jc w:val="both"/>
      </w:pPr>
      <w:r>
        <w:rPr>
          <w:rFonts w:ascii="Times New Roman" w:hAnsi="Times New Roman"/>
          <w:b w:val="0"/>
          <w:i w:val="0"/>
          <w:sz w:val="21"/>
        </w:rPr>
        <w:t>C-index across predictor strategies: JLCM-ctDNA (univariable, bootstrap-corrected, 0.81 EFS / 0.79 OS) &gt; Frank-style day-28 (0.64 EFS) ≈ JLCM-MTV (0.63 EFS) ≈ Δlog₁₀ baseline→D14 continuous (0.62 EFS) &gt; day-14 log₁₀ hEG continuous (0.59 EFS) &gt; Deauville month 3 (0.56 EFS) ≈ JLCM-Deauville (0.56 EFS) &gt; Deauville day 14 (0.51 EFS). Bivariable C-index gains relative to JLCM-ctDNA alone are ≤0.02 across all PET covariates. Hierarchy is reported only for univariable models; multivariable apparent C-index is reported in Table 2 alongside its bootstrap-corrected counterpart.</w:t>
      </w:r>
    </w:p>
    <w:p>
      <w:pPr>
        <w:keepNext/>
        <w:spacing w:before="200" w:after="120" w:line="288" w:lineRule="auto"/>
      </w:pPr>
      <w:r>
        <w:rPr>
          <w:rFonts w:ascii="Times New Roman" w:hAnsi="Times New Roman"/>
          <w:b/>
          <w:i/>
          <w:sz w:val="26"/>
        </w:rPr>
        <w:t>Supplemental Table S17. Univariable Cox models against continuous day-14 ctDNA benchmarks (n = 44 EFS, n = 41 OS)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E7E6E6"/>
          </w:tcPr>
          <w:p>
            <w:pPr>
              <w:spacing w:before="0" w:after="0" w:line="264" w:lineRule="auto"/>
            </w:pPr>
            <w:r/>
            <w:r>
              <w:rPr>
                <w:rFonts w:ascii="Times New Roman" w:hAnsi="Times New Roman"/>
                <w:b/>
                <w:i w:val="0"/>
                <w:sz w:val="20"/>
              </w:rPr>
              <w:t>Model</w:t>
            </w:r>
          </w:p>
        </w:tc>
        <w:tc>
          <w:tcPr>
            <w:tcW w:type="dxa" w:w="1344"/>
            <w:vAlign w:val="center"/>
            <w:shd w:val="clear" w:color="auto" w:fill="E7E6E6"/>
          </w:tcPr>
          <w:p>
            <w:pPr>
              <w:spacing w:before="0" w:after="0" w:line="264" w:lineRule="auto"/>
            </w:pPr>
            <w:r/>
            <w:r>
              <w:rPr>
                <w:rFonts w:ascii="Times New Roman" w:hAnsi="Times New Roman"/>
                <w:b/>
                <w:i w:val="0"/>
                <w:sz w:val="20"/>
              </w:rPr>
              <w:t>Endpoint</w:t>
            </w:r>
          </w:p>
        </w:tc>
        <w:tc>
          <w:tcPr>
            <w:tcW w:type="dxa" w:w="1344"/>
            <w:vAlign w:val="center"/>
            <w:shd w:val="clear" w:color="auto" w:fill="E7E6E6"/>
          </w:tcPr>
          <w:p>
            <w:pPr>
              <w:spacing w:before="0" w:after="0" w:line="264" w:lineRule="auto"/>
            </w:pPr>
            <w:r/>
            <w:r>
              <w:rPr>
                <w:rFonts w:ascii="Times New Roman" w:hAnsi="Times New Roman"/>
                <w:b/>
                <w:i w:val="0"/>
                <w:sz w:val="20"/>
              </w:rPr>
              <w:t>C-index</w:t>
            </w:r>
          </w:p>
        </w:tc>
        <w:tc>
          <w:tcPr>
            <w:tcW w:type="dxa" w:w="1344"/>
            <w:vAlign w:val="center"/>
            <w:shd w:val="clear" w:color="auto" w:fill="E7E6E6"/>
          </w:tcPr>
          <w:p>
            <w:pPr>
              <w:spacing w:before="0" w:after="0" w:line="264" w:lineRule="auto"/>
            </w:pPr>
            <w:r/>
            <w:r>
              <w:rPr>
                <w:rFonts w:ascii="Times New Roman" w:hAnsi="Times New Roman"/>
                <w:b/>
                <w:i w:val="0"/>
                <w:sz w:val="20"/>
              </w:rPr>
              <w:t>HR per log₁₀ (95% CI)</w:t>
            </w:r>
          </w:p>
        </w:tc>
        <w:tc>
          <w:tcPr>
            <w:tcW w:type="dxa" w:w="1344"/>
            <w:vAlign w:val="center"/>
            <w:shd w:val="clear" w:color="auto" w:fill="E7E6E6"/>
          </w:tcPr>
          <w:p>
            <w:pPr>
              <w:spacing w:before="0" w:after="0" w:line="264" w:lineRule="auto"/>
            </w:pPr>
            <w:r/>
            <w:r>
              <w:rPr>
                <w:rFonts w:ascii="Times New Roman" w:hAnsi="Times New Roman"/>
                <w:b/>
                <w:i w:val="0"/>
                <w:sz w:val="20"/>
              </w:rPr>
              <w:t>P value</w:t>
            </w:r>
          </w:p>
        </w:tc>
        <w:tc>
          <w:tcPr>
            <w:tcW w:type="dxa" w:w="1344"/>
            <w:vAlign w:val="center"/>
            <w:shd w:val="clear" w:color="auto" w:fill="E7E6E6"/>
          </w:tcPr>
          <w:p>
            <w:pPr>
              <w:spacing w:before="0" w:after="0" w:line="264" w:lineRule="auto"/>
            </w:pPr>
            <w:r/>
            <w:r>
              <w:rPr>
                <w:rFonts w:ascii="Times New Roman" w:hAnsi="Times New Roman"/>
                <w:b/>
                <w:i w:val="0"/>
                <w:sz w:val="20"/>
              </w:rPr>
              <w:t>AUC 12 m</w:t>
            </w:r>
          </w:p>
        </w:tc>
        <w:tc>
          <w:tcPr>
            <w:tcW w:type="dxa" w:w="1344"/>
            <w:vAlign w:val="center"/>
            <w:shd w:val="clear" w:color="auto" w:fill="E7E6E6"/>
          </w:tcPr>
          <w:p>
            <w:pPr>
              <w:spacing w:before="0" w:after="0" w:line="264" w:lineRule="auto"/>
            </w:pPr>
            <w:r/>
            <w:r>
              <w:rPr>
                <w:rFonts w:ascii="Times New Roman" w:hAnsi="Times New Roman"/>
                <w:b/>
                <w:i w:val="0"/>
                <w:sz w:val="20"/>
              </w:rPr>
              <w:t>NRI 12 m vs JLCM</w:t>
            </w:r>
          </w:p>
        </w:tc>
      </w:tr>
      <w:tr>
        <w:tc>
          <w:tcPr>
            <w:tcW w:type="dxa" w:w="1344"/>
            <w:vAlign w:val="center"/>
          </w:tcPr>
          <w:p>
            <w:pPr>
              <w:spacing w:before="0" w:after="0" w:line="264" w:lineRule="auto"/>
            </w:pPr>
            <w:r/>
            <w:r>
              <w:rPr>
                <w:rFonts w:ascii="Times New Roman" w:hAnsi="Times New Roman"/>
                <w:b w:val="0"/>
                <w:i w:val="0"/>
                <w:sz w:val="20"/>
              </w:rPr>
              <w:t>M_a: day-14 log₁₀ hEG (continuous)</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0.586</w:t>
            </w:r>
          </w:p>
        </w:tc>
        <w:tc>
          <w:tcPr>
            <w:tcW w:type="dxa" w:w="1344"/>
            <w:vAlign w:val="center"/>
          </w:tcPr>
          <w:p>
            <w:pPr>
              <w:spacing w:before="0" w:after="0" w:line="264" w:lineRule="auto"/>
            </w:pPr>
            <w:r/>
            <w:r>
              <w:rPr>
                <w:rFonts w:ascii="Times New Roman" w:hAnsi="Times New Roman"/>
                <w:b w:val="0"/>
                <w:i w:val="0"/>
                <w:sz w:val="20"/>
              </w:rPr>
              <w:t>1.12 (0.97-1.29)</w:t>
            </w:r>
          </w:p>
        </w:tc>
        <w:tc>
          <w:tcPr>
            <w:tcW w:type="dxa" w:w="1344"/>
            <w:vAlign w:val="center"/>
          </w:tcPr>
          <w:p>
            <w:pPr>
              <w:spacing w:before="0" w:after="0" w:line="264" w:lineRule="auto"/>
            </w:pPr>
            <w:r/>
            <w:r>
              <w:rPr>
                <w:rFonts w:ascii="Times New Roman" w:hAnsi="Times New Roman"/>
                <w:b w:val="0"/>
                <w:i w:val="0"/>
                <w:sz w:val="20"/>
              </w:rPr>
              <w:t>.123</w:t>
            </w:r>
          </w:p>
        </w:tc>
        <w:tc>
          <w:tcPr>
            <w:tcW w:type="dxa" w:w="1344"/>
            <w:vAlign w:val="center"/>
          </w:tcPr>
          <w:p>
            <w:pPr>
              <w:spacing w:before="0" w:after="0" w:line="264" w:lineRule="auto"/>
            </w:pPr>
            <w:r/>
            <w:r>
              <w:rPr>
                <w:rFonts w:ascii="Times New Roman" w:hAnsi="Times New Roman"/>
                <w:b w:val="0"/>
                <w:i w:val="0"/>
                <w:sz w:val="20"/>
              </w:rPr>
              <w:t>0.667</w:t>
            </w:r>
          </w:p>
        </w:tc>
        <w:tc>
          <w:tcPr>
            <w:tcW w:type="dxa" w:w="1344"/>
            <w:vAlign w:val="center"/>
          </w:tcPr>
          <w:p>
            <w:pPr>
              <w:spacing w:before="0" w:after="0" w:line="264" w:lineRule="auto"/>
            </w:pPr>
            <w:r/>
            <w:r>
              <w:rPr>
                <w:rFonts w:ascii="Times New Roman" w:hAnsi="Times New Roman"/>
                <w:b w:val="0"/>
                <w:i w:val="0"/>
                <w:sz w:val="20"/>
              </w:rPr>
              <w:t>+2.00 (theoretical max)</w:t>
            </w:r>
          </w:p>
        </w:tc>
      </w:tr>
      <w:tr>
        <w:tc>
          <w:tcPr>
            <w:tcW w:type="dxa" w:w="1344"/>
            <w:vAlign w:val="center"/>
          </w:tcPr>
          <w:p>
            <w:pPr>
              <w:spacing w:before="0" w:after="0" w:line="264" w:lineRule="auto"/>
            </w:pPr>
            <w:r/>
            <w:r>
              <w:rPr>
                <w:rFonts w:ascii="Times New Roman" w:hAnsi="Times New Roman"/>
                <w:b w:val="0"/>
                <w:i w:val="0"/>
                <w:sz w:val="20"/>
              </w:rPr>
              <w:t>M_b: Δlog₁₀ baseline→D14 (continuous)</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0.619</w:t>
            </w:r>
          </w:p>
        </w:tc>
        <w:tc>
          <w:tcPr>
            <w:tcW w:type="dxa" w:w="1344"/>
            <w:vAlign w:val="center"/>
          </w:tcPr>
          <w:p>
            <w:pPr>
              <w:spacing w:before="0" w:after="0" w:line="264" w:lineRule="auto"/>
            </w:pPr>
            <w:r/>
            <w:r>
              <w:rPr>
                <w:rFonts w:ascii="Times New Roman" w:hAnsi="Times New Roman"/>
                <w:b w:val="0"/>
                <w:i w:val="0"/>
                <w:sz w:val="20"/>
              </w:rPr>
              <w:t>1.10 (0.97-1.25)</w:t>
            </w:r>
          </w:p>
        </w:tc>
        <w:tc>
          <w:tcPr>
            <w:tcW w:type="dxa" w:w="1344"/>
            <w:vAlign w:val="center"/>
          </w:tcPr>
          <w:p>
            <w:pPr>
              <w:spacing w:before="0" w:after="0" w:line="264" w:lineRule="auto"/>
            </w:pPr>
            <w:r/>
            <w:r>
              <w:rPr>
                <w:rFonts w:ascii="Times New Roman" w:hAnsi="Times New Roman"/>
                <w:b w:val="0"/>
                <w:i w:val="0"/>
                <w:sz w:val="20"/>
              </w:rPr>
              <w:t>.145</w:t>
            </w:r>
          </w:p>
        </w:tc>
        <w:tc>
          <w:tcPr>
            <w:tcW w:type="dxa" w:w="1344"/>
            <w:vAlign w:val="center"/>
          </w:tcPr>
          <w:p>
            <w:pPr>
              <w:spacing w:before="0" w:after="0" w:line="264" w:lineRule="auto"/>
            </w:pPr>
            <w:r/>
            <w:r>
              <w:rPr>
                <w:rFonts w:ascii="Times New Roman" w:hAnsi="Times New Roman"/>
                <w:b w:val="0"/>
                <w:i w:val="0"/>
                <w:sz w:val="20"/>
              </w:rPr>
              <w:t>0.704</w:t>
            </w:r>
          </w:p>
        </w:tc>
        <w:tc>
          <w:tcPr>
            <w:tcW w:type="dxa" w:w="1344"/>
            <w:vAlign w:val="center"/>
          </w:tcPr>
          <w:p>
            <w:pPr>
              <w:spacing w:before="0" w:after="0" w:line="264" w:lineRule="auto"/>
            </w:pPr>
            <w:r/>
            <w:r>
              <w:rPr>
                <w:rFonts w:ascii="Times New Roman" w:hAnsi="Times New Roman"/>
                <w:b w:val="0"/>
                <w:i w:val="0"/>
                <w:sz w:val="20"/>
              </w:rPr>
              <w:t>+2.00 (theoretical max)</w:t>
            </w:r>
          </w:p>
        </w:tc>
      </w:tr>
      <w:tr>
        <w:tc>
          <w:tcPr>
            <w:tcW w:type="dxa" w:w="1344"/>
            <w:vAlign w:val="center"/>
          </w:tcPr>
          <w:p>
            <w:pPr>
              <w:spacing w:before="0" w:after="0" w:line="264" w:lineRule="auto"/>
            </w:pPr>
            <w:r/>
            <w:r>
              <w:rPr>
                <w:rFonts w:ascii="Times New Roman" w:hAnsi="Times New Roman"/>
                <w:b w:val="0"/>
                <w:i w:val="0"/>
                <w:sz w:val="20"/>
              </w:rPr>
              <w:t>M_jlcm: JLCM binary class</w:t>
            </w:r>
          </w:p>
        </w:tc>
        <w:tc>
          <w:tcPr>
            <w:tcW w:type="dxa" w:w="1344"/>
            <w:vAlign w:val="center"/>
          </w:tcPr>
          <w:p>
            <w:pPr>
              <w:spacing w:before="0" w:after="0" w:line="264" w:lineRule="auto"/>
            </w:pPr>
            <w:r/>
            <w:r>
              <w:rPr>
                <w:rFonts w:ascii="Times New Roman" w:hAnsi="Times New Roman"/>
                <w:b w:val="0"/>
                <w:i w:val="0"/>
                <w:sz w:val="20"/>
              </w:rPr>
              <w:t>EFS</w:t>
            </w:r>
          </w:p>
        </w:tc>
        <w:tc>
          <w:tcPr>
            <w:tcW w:type="dxa" w:w="1344"/>
            <w:vAlign w:val="center"/>
          </w:tcPr>
          <w:p>
            <w:pPr>
              <w:spacing w:before="0" w:after="0" w:line="264" w:lineRule="auto"/>
            </w:pPr>
            <w:r/>
            <w:r>
              <w:rPr>
                <w:rFonts w:ascii="Times New Roman" w:hAnsi="Times New Roman"/>
                <w:b w:val="0"/>
                <w:i w:val="0"/>
                <w:sz w:val="20"/>
              </w:rPr>
              <w:t>0.808</w:t>
            </w:r>
          </w:p>
        </w:tc>
        <w:tc>
          <w:tcPr>
            <w:tcW w:type="dxa" w:w="1344"/>
            <w:vAlign w:val="center"/>
          </w:tcPr>
          <w:p>
            <w:pPr>
              <w:spacing w:before="0" w:after="0" w:line="264" w:lineRule="auto"/>
            </w:pPr>
            <w:r/>
            <w:r>
              <w:rPr>
                <w:rFonts w:ascii="Times New Roman" w:hAnsi="Times New Roman"/>
                <w:b w:val="0"/>
                <w:i w:val="0"/>
                <w:sz w:val="20"/>
              </w:rPr>
              <w:t>ridge-penalized HR 17.7 (6.3-50.0)</w:t>
            </w:r>
          </w:p>
        </w:tc>
        <w:tc>
          <w:tcPr>
            <w:tcW w:type="dxa" w:w="1344"/>
            <w:vAlign w:val="center"/>
          </w:tcPr>
          <w:p>
            <w:pPr>
              <w:spacing w:before="0" w:after="0" w:line="264" w:lineRule="auto"/>
            </w:pPr>
            <w:r/>
            <w:r>
              <w:rPr>
                <w:rFonts w:ascii="Times New Roman" w:hAnsi="Times New Roman"/>
                <w:b w:val="0"/>
                <w:i w:val="0"/>
                <w:sz w:val="20"/>
              </w:rPr>
              <w:t>&lt;.001</w:t>
            </w:r>
          </w:p>
        </w:tc>
        <w:tc>
          <w:tcPr>
            <w:tcW w:type="dxa" w:w="1344"/>
            <w:vAlign w:val="center"/>
          </w:tcPr>
          <w:p>
            <w:pPr>
              <w:spacing w:before="0" w:after="0" w:line="264" w:lineRule="auto"/>
            </w:pPr>
            <w:r/>
            <w:r>
              <w:rPr>
                <w:rFonts w:ascii="Times New Roman" w:hAnsi="Times New Roman"/>
                <w:b w:val="0"/>
                <w:i w:val="0"/>
                <w:sz w:val="20"/>
              </w:rPr>
              <w:t>1.000</w:t>
            </w:r>
          </w:p>
        </w:tc>
        <w:tc>
          <w:tcPr>
            <w:tcW w:type="dxa" w:w="1344"/>
            <w:vAlign w:val="center"/>
          </w:tcPr>
          <w:p>
            <w:pPr>
              <w:spacing w:before="0" w:after="0" w:line="264" w:lineRule="auto"/>
            </w:pPr>
            <w:r/>
            <w:r>
              <w:rPr>
                <w:rFonts w:ascii="Times New Roman" w:hAnsi="Times New Roman"/>
                <w:b w:val="0"/>
                <w:i w:val="0"/>
                <w:sz w:val="20"/>
              </w:rPr>
              <w:t>—</w:t>
            </w:r>
          </w:p>
        </w:tc>
      </w:tr>
      <w:tr>
        <w:tc>
          <w:tcPr>
            <w:tcW w:type="dxa" w:w="1344"/>
            <w:vAlign w:val="center"/>
          </w:tcPr>
          <w:p>
            <w:pPr>
              <w:spacing w:before="0" w:after="0" w:line="264" w:lineRule="auto"/>
            </w:pPr>
            <w:r/>
            <w:r>
              <w:rPr>
                <w:rFonts w:ascii="Times New Roman" w:hAnsi="Times New Roman"/>
                <w:b w:val="0"/>
                <w:i w:val="0"/>
                <w:sz w:val="20"/>
              </w:rPr>
              <w:t>M_a: day-14 log₁₀ hEG (continuous)</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0.597</w:t>
            </w:r>
          </w:p>
        </w:tc>
        <w:tc>
          <w:tcPr>
            <w:tcW w:type="dxa" w:w="1344"/>
            <w:vAlign w:val="center"/>
          </w:tcPr>
          <w:p>
            <w:pPr>
              <w:spacing w:before="0" w:after="0" w:line="264" w:lineRule="auto"/>
            </w:pPr>
            <w:r/>
            <w:r>
              <w:rPr>
                <w:rFonts w:ascii="Times New Roman" w:hAnsi="Times New Roman"/>
                <w:b w:val="0"/>
                <w:i w:val="0"/>
                <w:sz w:val="20"/>
              </w:rPr>
              <w:t>1.13 (0.94-1.35)</w:t>
            </w:r>
          </w:p>
        </w:tc>
        <w:tc>
          <w:tcPr>
            <w:tcW w:type="dxa" w:w="1344"/>
            <w:vAlign w:val="center"/>
          </w:tcPr>
          <w:p>
            <w:pPr>
              <w:spacing w:before="0" w:after="0" w:line="264" w:lineRule="auto"/>
            </w:pPr>
            <w:r/>
            <w:r>
              <w:rPr>
                <w:rFonts w:ascii="Times New Roman" w:hAnsi="Times New Roman"/>
                <w:b w:val="0"/>
                <w:i w:val="0"/>
                <w:sz w:val="20"/>
              </w:rPr>
              <w:t>.211</w:t>
            </w:r>
          </w:p>
        </w:tc>
        <w:tc>
          <w:tcPr>
            <w:tcW w:type="dxa" w:w="1344"/>
            <w:vAlign w:val="center"/>
          </w:tcPr>
          <w:p>
            <w:pPr>
              <w:spacing w:before="0" w:after="0" w:line="264" w:lineRule="auto"/>
            </w:pPr>
            <w:r/>
            <w:r>
              <w:rPr>
                <w:rFonts w:ascii="Times New Roman" w:hAnsi="Times New Roman"/>
                <w:b w:val="0"/>
                <w:i w:val="0"/>
                <w:sz w:val="20"/>
              </w:rPr>
              <w:t>0.663</w:t>
            </w:r>
          </w:p>
        </w:tc>
        <w:tc>
          <w:tcPr>
            <w:tcW w:type="dxa" w:w="1344"/>
            <w:vAlign w:val="center"/>
          </w:tcPr>
          <w:p>
            <w:pPr>
              <w:spacing w:before="0" w:after="0" w:line="264" w:lineRule="auto"/>
            </w:pPr>
            <w:r/>
            <w:r>
              <w:rPr>
                <w:rFonts w:ascii="Times New Roman" w:hAnsi="Times New Roman"/>
                <w:b w:val="0"/>
                <w:i w:val="0"/>
                <w:sz w:val="20"/>
              </w:rPr>
              <w:t>+1.58</w:t>
            </w:r>
          </w:p>
        </w:tc>
      </w:tr>
      <w:tr>
        <w:tc>
          <w:tcPr>
            <w:tcW w:type="dxa" w:w="1344"/>
            <w:vAlign w:val="center"/>
          </w:tcPr>
          <w:p>
            <w:pPr>
              <w:spacing w:before="0" w:after="0" w:line="264" w:lineRule="auto"/>
            </w:pPr>
            <w:r/>
            <w:r>
              <w:rPr>
                <w:rFonts w:ascii="Times New Roman" w:hAnsi="Times New Roman"/>
                <w:b w:val="0"/>
                <w:i w:val="0"/>
                <w:sz w:val="20"/>
              </w:rPr>
              <w:t>M_b: Δlog₁₀ baseline→D14 (continuous)</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0.587</w:t>
            </w:r>
          </w:p>
        </w:tc>
        <w:tc>
          <w:tcPr>
            <w:tcW w:type="dxa" w:w="1344"/>
            <w:vAlign w:val="center"/>
          </w:tcPr>
          <w:p>
            <w:pPr>
              <w:spacing w:before="0" w:after="0" w:line="264" w:lineRule="auto"/>
            </w:pPr>
            <w:r/>
            <w:r>
              <w:rPr>
                <w:rFonts w:ascii="Times New Roman" w:hAnsi="Times New Roman"/>
                <w:b w:val="0"/>
                <w:i w:val="0"/>
                <w:sz w:val="20"/>
              </w:rPr>
              <w:t>1.07 (0.92-1.26)</w:t>
            </w:r>
          </w:p>
        </w:tc>
        <w:tc>
          <w:tcPr>
            <w:tcW w:type="dxa" w:w="1344"/>
            <w:vAlign w:val="center"/>
          </w:tcPr>
          <w:p>
            <w:pPr>
              <w:spacing w:before="0" w:after="0" w:line="264" w:lineRule="auto"/>
            </w:pPr>
            <w:r/>
            <w:r>
              <w:rPr>
                <w:rFonts w:ascii="Times New Roman" w:hAnsi="Times New Roman"/>
                <w:b w:val="0"/>
                <w:i w:val="0"/>
                <w:sz w:val="20"/>
              </w:rPr>
              <w:t>.373</w:t>
            </w:r>
          </w:p>
        </w:tc>
        <w:tc>
          <w:tcPr>
            <w:tcW w:type="dxa" w:w="1344"/>
            <w:vAlign w:val="center"/>
          </w:tcPr>
          <w:p>
            <w:pPr>
              <w:spacing w:before="0" w:after="0" w:line="264" w:lineRule="auto"/>
            </w:pPr>
            <w:r/>
            <w:r>
              <w:rPr>
                <w:rFonts w:ascii="Times New Roman" w:hAnsi="Times New Roman"/>
                <w:b w:val="0"/>
                <w:i w:val="0"/>
                <w:sz w:val="20"/>
              </w:rPr>
              <w:t>0.618</w:t>
            </w:r>
          </w:p>
        </w:tc>
        <w:tc>
          <w:tcPr>
            <w:tcW w:type="dxa" w:w="1344"/>
            <w:vAlign w:val="center"/>
          </w:tcPr>
          <w:p>
            <w:pPr>
              <w:spacing w:before="0" w:after="0" w:line="264" w:lineRule="auto"/>
            </w:pPr>
            <w:r/>
            <w:r>
              <w:rPr>
                <w:rFonts w:ascii="Times New Roman" w:hAnsi="Times New Roman"/>
                <w:b w:val="0"/>
                <w:i w:val="0"/>
                <w:sz w:val="20"/>
              </w:rPr>
              <w:t>+1.58</w:t>
            </w:r>
          </w:p>
        </w:tc>
      </w:tr>
      <w:tr>
        <w:tc>
          <w:tcPr>
            <w:tcW w:type="dxa" w:w="1344"/>
            <w:vAlign w:val="center"/>
          </w:tcPr>
          <w:p>
            <w:pPr>
              <w:spacing w:before="0" w:after="0" w:line="264" w:lineRule="auto"/>
            </w:pPr>
            <w:r/>
            <w:r>
              <w:rPr>
                <w:rFonts w:ascii="Times New Roman" w:hAnsi="Times New Roman"/>
                <w:b w:val="0"/>
                <w:i w:val="0"/>
                <w:sz w:val="20"/>
              </w:rPr>
              <w:t>M_jlcm: JLCM binary class</w:t>
            </w:r>
          </w:p>
        </w:tc>
        <w:tc>
          <w:tcPr>
            <w:tcW w:type="dxa" w:w="1344"/>
            <w:vAlign w:val="center"/>
          </w:tcPr>
          <w:p>
            <w:pPr>
              <w:spacing w:before="0" w:after="0" w:line="264" w:lineRule="auto"/>
            </w:pPr>
            <w:r/>
            <w:r>
              <w:rPr>
                <w:rFonts w:ascii="Times New Roman" w:hAnsi="Times New Roman"/>
                <w:b w:val="0"/>
                <w:i w:val="0"/>
                <w:sz w:val="20"/>
              </w:rPr>
              <w:t>OS</w:t>
            </w:r>
          </w:p>
        </w:tc>
        <w:tc>
          <w:tcPr>
            <w:tcW w:type="dxa" w:w="1344"/>
            <w:vAlign w:val="center"/>
          </w:tcPr>
          <w:p>
            <w:pPr>
              <w:spacing w:before="0" w:after="0" w:line="264" w:lineRule="auto"/>
            </w:pPr>
            <w:r/>
            <w:r>
              <w:rPr>
                <w:rFonts w:ascii="Times New Roman" w:hAnsi="Times New Roman"/>
                <w:b w:val="0"/>
                <w:i w:val="0"/>
                <w:sz w:val="20"/>
              </w:rPr>
              <w:t>0.788</w:t>
            </w:r>
          </w:p>
        </w:tc>
        <w:tc>
          <w:tcPr>
            <w:tcW w:type="dxa" w:w="1344"/>
            <w:vAlign w:val="center"/>
          </w:tcPr>
          <w:p>
            <w:pPr>
              <w:spacing w:before="0" w:after="0" w:line="264" w:lineRule="auto"/>
            </w:pPr>
            <w:r/>
            <w:r>
              <w:rPr>
                <w:rFonts w:ascii="Times New Roman" w:hAnsi="Times New Roman"/>
                <w:b w:val="0"/>
                <w:i w:val="0"/>
                <w:sz w:val="20"/>
              </w:rPr>
              <w:t>28.8 (3.8-220)</w:t>
            </w:r>
          </w:p>
        </w:tc>
        <w:tc>
          <w:tcPr>
            <w:tcW w:type="dxa" w:w="1344"/>
            <w:vAlign w:val="center"/>
          </w:tcPr>
          <w:p>
            <w:pPr>
              <w:spacing w:before="0" w:after="0" w:line="264" w:lineRule="auto"/>
            </w:pPr>
            <w:r/>
            <w:r>
              <w:rPr>
                <w:rFonts w:ascii="Times New Roman" w:hAnsi="Times New Roman"/>
                <w:b w:val="0"/>
                <w:i w:val="0"/>
                <w:sz w:val="20"/>
              </w:rPr>
              <w:t>.0012</w:t>
            </w:r>
          </w:p>
        </w:tc>
        <w:tc>
          <w:tcPr>
            <w:tcW w:type="dxa" w:w="1344"/>
            <w:vAlign w:val="center"/>
          </w:tcPr>
          <w:p>
            <w:pPr>
              <w:spacing w:before="0" w:after="0" w:line="264" w:lineRule="auto"/>
            </w:pPr>
            <w:r/>
            <w:r>
              <w:rPr>
                <w:rFonts w:ascii="Times New Roman" w:hAnsi="Times New Roman"/>
                <w:b w:val="0"/>
                <w:i w:val="0"/>
                <w:sz w:val="20"/>
              </w:rPr>
              <w:t>0.812</w:t>
            </w:r>
          </w:p>
        </w:tc>
        <w:tc>
          <w:tcPr>
            <w:tcW w:type="dxa" w:w="1344"/>
            <w:vAlign w:val="center"/>
          </w:tcPr>
          <w:p>
            <w:pPr>
              <w:spacing w:before="0" w:after="0" w:line="264" w:lineRule="auto"/>
            </w:pPr>
            <w:r/>
            <w:r>
              <w:rPr>
                <w:rFonts w:ascii="Times New Roman" w:hAnsi="Times New Roman"/>
                <w:b w:val="0"/>
                <w:i w:val="0"/>
                <w:sz w:val="20"/>
              </w:rPr>
              <w:t>—</w:t>
            </w:r>
          </w:p>
        </w:tc>
      </w:tr>
    </w:tbl>
    <w:p>
      <w:pPr>
        <w:spacing w:after="120"/>
      </w:pPr>
    </w:p>
    <w:p>
      <w:pPr>
        <w:spacing w:before="0" w:after="120" w:line="312" w:lineRule="auto"/>
        <w:jc w:val="both"/>
      </w:pPr>
      <w:r>
        <w:rPr>
          <w:rFonts w:ascii="Times New Roman" w:hAnsi="Times New Roman"/>
          <w:b w:val="0"/>
          <w:i w:val="0"/>
          <w:sz w:val="21"/>
        </w:rPr>
        <w:t>Continuous benchmarks (M_a, M_b) test whether the JLCM machinery adds information beyond the day-14 absolute value or the linear early decay slope. The JLCM C-index exceeds both benchmarks by approximately 0.20 units. NRI reaches its theoretical maximum because the JLCM perfectly classifies all 22 high-risk EFS events that the continuous benchmarks misclassify under matched thresholds.</w:t>
      </w:r>
    </w:p>
    <w:p>
      <w:pPr>
        <w:keepNext/>
        <w:spacing w:before="200" w:after="120" w:line="288" w:lineRule="auto"/>
      </w:pPr>
      <w:r>
        <w:rPr>
          <w:rFonts w:ascii="Times New Roman" w:hAnsi="Times New Roman"/>
          <w:b/>
          <w:i/>
          <w:sz w:val="26"/>
        </w:rPr>
        <w:t>Supplemental Table S18. Frank-style binary classifier at day 28 refitted in the ALYCANTE cohort (n = 42 patients with day-28 ctDNA measurement; intersection cohort with JLCM-classifiable n = 35)</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E7E6E6"/>
          </w:tcPr>
          <w:p>
            <w:pPr>
              <w:spacing w:before="0" w:after="0" w:line="264" w:lineRule="auto"/>
            </w:pPr>
            <w:r/>
            <w:r>
              <w:rPr>
                <w:rFonts w:ascii="Times New Roman" w:hAnsi="Times New Roman"/>
                <w:b/>
                <w:i w:val="0"/>
                <w:sz w:val="20"/>
              </w:rPr>
              <w:t>Classifier</w:t>
            </w:r>
          </w:p>
        </w:tc>
        <w:tc>
          <w:tcPr>
            <w:tcW w:type="dxa" w:w="1568"/>
            <w:vAlign w:val="center"/>
            <w:shd w:val="clear" w:color="auto" w:fill="E7E6E6"/>
          </w:tcPr>
          <w:p>
            <w:pPr>
              <w:spacing w:before="0" w:after="0" w:line="264" w:lineRule="auto"/>
            </w:pPr>
            <w:r/>
            <w:r>
              <w:rPr>
                <w:rFonts w:ascii="Times New Roman" w:hAnsi="Times New Roman"/>
                <w:b/>
                <w:i w:val="0"/>
                <w:sz w:val="20"/>
              </w:rPr>
              <w:t>Threshold</w:t>
            </w:r>
          </w:p>
        </w:tc>
        <w:tc>
          <w:tcPr>
            <w:tcW w:type="dxa" w:w="1568"/>
            <w:vAlign w:val="center"/>
            <w:shd w:val="clear" w:color="auto" w:fill="E7E6E6"/>
          </w:tcPr>
          <w:p>
            <w:pPr>
              <w:spacing w:before="0" w:after="0" w:line="264" w:lineRule="auto"/>
            </w:pPr>
            <w:r/>
            <w:r>
              <w:rPr>
                <w:rFonts w:ascii="Times New Roman" w:hAnsi="Times New Roman"/>
                <w:b/>
                <w:i w:val="0"/>
                <w:sz w:val="20"/>
              </w:rPr>
              <w:t>n detectable</w:t>
            </w:r>
          </w:p>
        </w:tc>
        <w:tc>
          <w:tcPr>
            <w:tcW w:type="dxa" w:w="1568"/>
            <w:vAlign w:val="center"/>
            <w:shd w:val="clear" w:color="auto" w:fill="E7E6E6"/>
          </w:tcPr>
          <w:p>
            <w:pPr>
              <w:spacing w:before="0" w:after="0" w:line="264" w:lineRule="auto"/>
            </w:pPr>
            <w:r/>
            <w:r>
              <w:rPr>
                <w:rFonts w:ascii="Times New Roman" w:hAnsi="Times New Roman"/>
                <w:b/>
                <w:i w:val="0"/>
                <w:sz w:val="20"/>
              </w:rPr>
              <w:t>HR EFS (95% CI)</w:t>
            </w:r>
          </w:p>
        </w:tc>
        <w:tc>
          <w:tcPr>
            <w:tcW w:type="dxa" w:w="1568"/>
            <w:vAlign w:val="center"/>
            <w:shd w:val="clear" w:color="auto" w:fill="E7E6E6"/>
          </w:tcPr>
          <w:p>
            <w:pPr>
              <w:spacing w:before="0" w:after="0" w:line="264" w:lineRule="auto"/>
            </w:pPr>
            <w:r/>
            <w:r>
              <w:rPr>
                <w:rFonts w:ascii="Times New Roman" w:hAnsi="Times New Roman"/>
                <w:b/>
                <w:i w:val="0"/>
                <w:sz w:val="20"/>
              </w:rPr>
              <w:t>P</w:t>
            </w:r>
          </w:p>
        </w:tc>
        <w:tc>
          <w:tcPr>
            <w:tcW w:type="dxa" w:w="1568"/>
            <w:vAlign w:val="center"/>
            <w:shd w:val="clear" w:color="auto" w:fill="E7E6E6"/>
          </w:tcPr>
          <w:p>
            <w:pPr>
              <w:spacing w:before="0" w:after="0" w:line="264" w:lineRule="auto"/>
            </w:pPr>
            <w:r/>
            <w:r>
              <w:rPr>
                <w:rFonts w:ascii="Times New Roman" w:hAnsi="Times New Roman"/>
                <w:b/>
                <w:i w:val="0"/>
                <w:sz w:val="20"/>
              </w:rPr>
              <w:t>C-index EFS</w:t>
            </w:r>
          </w:p>
        </w:tc>
      </w:tr>
      <w:tr>
        <w:tc>
          <w:tcPr>
            <w:tcW w:type="dxa" w:w="1568"/>
            <w:vAlign w:val="center"/>
          </w:tcPr>
          <w:p>
            <w:pPr>
              <w:spacing w:before="0" w:after="0" w:line="264" w:lineRule="auto"/>
            </w:pPr>
            <w:r/>
            <w:r>
              <w:rPr>
                <w:rFonts w:ascii="Times New Roman" w:hAnsi="Times New Roman"/>
                <w:b w:val="0"/>
                <w:i w:val="0"/>
                <w:sz w:val="20"/>
              </w:rPr>
              <w:t>Detectable ctDNA at day 28 (Frank-style, strict)</w:t>
            </w:r>
          </w:p>
        </w:tc>
        <w:tc>
          <w:tcPr>
            <w:tcW w:type="dxa" w:w="1568"/>
            <w:vAlign w:val="center"/>
          </w:tcPr>
          <w:p>
            <w:pPr>
              <w:spacing w:before="0" w:after="0" w:line="264" w:lineRule="auto"/>
            </w:pPr>
            <w:r/>
            <w:r>
              <w:rPr>
                <w:rFonts w:ascii="Times New Roman" w:hAnsi="Times New Roman"/>
                <w:b w:val="0"/>
                <w:i w:val="0"/>
                <w:sz w:val="20"/>
              </w:rPr>
              <w:t>hEG &gt; 0</w:t>
            </w:r>
          </w:p>
        </w:tc>
        <w:tc>
          <w:tcPr>
            <w:tcW w:type="dxa" w:w="1568"/>
            <w:vAlign w:val="center"/>
          </w:tcPr>
          <w:p>
            <w:pPr>
              <w:spacing w:before="0" w:after="0" w:line="264" w:lineRule="auto"/>
            </w:pPr>
            <w:r/>
            <w:r>
              <w:rPr>
                <w:rFonts w:ascii="Times New Roman" w:hAnsi="Times New Roman"/>
                <w:b w:val="0"/>
                <w:i w:val="0"/>
                <w:sz w:val="20"/>
              </w:rPr>
              <w:t>20/42</w:t>
            </w:r>
          </w:p>
        </w:tc>
        <w:tc>
          <w:tcPr>
            <w:tcW w:type="dxa" w:w="1568"/>
            <w:vAlign w:val="center"/>
          </w:tcPr>
          <w:p>
            <w:pPr>
              <w:spacing w:before="0" w:after="0" w:line="264" w:lineRule="auto"/>
            </w:pPr>
            <w:r/>
            <w:r>
              <w:rPr>
                <w:rFonts w:ascii="Times New Roman" w:hAnsi="Times New Roman"/>
                <w:b w:val="0"/>
                <w:i w:val="0"/>
                <w:sz w:val="20"/>
              </w:rPr>
              <w:t>2.73 (1.21-6.14)</w:t>
            </w:r>
          </w:p>
        </w:tc>
        <w:tc>
          <w:tcPr>
            <w:tcW w:type="dxa" w:w="1568"/>
            <w:vAlign w:val="center"/>
          </w:tcPr>
          <w:p>
            <w:pPr>
              <w:spacing w:before="0" w:after="0" w:line="264" w:lineRule="auto"/>
            </w:pPr>
            <w:r/>
            <w:r>
              <w:rPr>
                <w:rFonts w:ascii="Times New Roman" w:hAnsi="Times New Roman"/>
                <w:b w:val="0"/>
                <w:i w:val="0"/>
                <w:sz w:val="20"/>
              </w:rPr>
              <w:t>.015</w:t>
            </w:r>
          </w:p>
        </w:tc>
        <w:tc>
          <w:tcPr>
            <w:tcW w:type="dxa" w:w="1568"/>
            <w:vAlign w:val="center"/>
          </w:tcPr>
          <w:p>
            <w:pPr>
              <w:spacing w:before="0" w:after="0" w:line="264" w:lineRule="auto"/>
            </w:pPr>
            <w:r/>
            <w:r>
              <w:rPr>
                <w:rFonts w:ascii="Times New Roman" w:hAnsi="Times New Roman"/>
                <w:b w:val="0"/>
                <w:i w:val="0"/>
                <w:sz w:val="20"/>
              </w:rPr>
              <w:t>0.635</w:t>
            </w:r>
          </w:p>
        </w:tc>
      </w:tr>
      <w:tr>
        <w:tc>
          <w:tcPr>
            <w:tcW w:type="dxa" w:w="1568"/>
            <w:vAlign w:val="center"/>
          </w:tcPr>
          <w:p>
            <w:pPr>
              <w:spacing w:before="0" w:after="0" w:line="264" w:lineRule="auto"/>
            </w:pPr>
            <w:r/>
            <w:r>
              <w:rPr>
                <w:rFonts w:ascii="Times New Roman" w:hAnsi="Times New Roman"/>
                <w:b w:val="0"/>
                <w:i w:val="0"/>
                <w:sz w:val="20"/>
              </w:rPr>
              <w:t>Detectable ctDNA at day 28 (routine, hEG &gt; 0.5)</w:t>
            </w:r>
          </w:p>
        </w:tc>
        <w:tc>
          <w:tcPr>
            <w:tcW w:type="dxa" w:w="1568"/>
            <w:vAlign w:val="center"/>
          </w:tcPr>
          <w:p>
            <w:pPr>
              <w:spacing w:before="0" w:after="0" w:line="264" w:lineRule="auto"/>
            </w:pPr>
            <w:r/>
            <w:r>
              <w:rPr>
                <w:rFonts w:ascii="Times New Roman" w:hAnsi="Times New Roman"/>
                <w:b w:val="0"/>
                <w:i w:val="0"/>
                <w:sz w:val="20"/>
              </w:rPr>
              <w:t>hEG &gt; 0.5</w:t>
            </w:r>
          </w:p>
        </w:tc>
        <w:tc>
          <w:tcPr>
            <w:tcW w:type="dxa" w:w="1568"/>
            <w:vAlign w:val="center"/>
          </w:tcPr>
          <w:p>
            <w:pPr>
              <w:spacing w:before="0" w:after="0" w:line="264" w:lineRule="auto"/>
            </w:pPr>
            <w:r/>
            <w:r>
              <w:rPr>
                <w:rFonts w:ascii="Times New Roman" w:hAnsi="Times New Roman"/>
                <w:b w:val="0"/>
                <w:i w:val="0"/>
                <w:sz w:val="20"/>
              </w:rPr>
              <w:t>19/42</w:t>
            </w:r>
          </w:p>
        </w:tc>
        <w:tc>
          <w:tcPr>
            <w:tcW w:type="dxa" w:w="1568"/>
            <w:vAlign w:val="center"/>
          </w:tcPr>
          <w:p>
            <w:pPr>
              <w:spacing w:before="0" w:after="0" w:line="264" w:lineRule="auto"/>
            </w:pPr>
            <w:r/>
            <w:r>
              <w:rPr>
                <w:rFonts w:ascii="Times New Roman" w:hAnsi="Times New Roman"/>
                <w:b w:val="0"/>
                <w:i w:val="0"/>
                <w:sz w:val="20"/>
              </w:rPr>
              <w:t>2.42 (1.09-5.38)</w:t>
            </w:r>
          </w:p>
        </w:tc>
        <w:tc>
          <w:tcPr>
            <w:tcW w:type="dxa" w:w="1568"/>
            <w:vAlign w:val="center"/>
          </w:tcPr>
          <w:p>
            <w:pPr>
              <w:spacing w:before="0" w:after="0" w:line="264" w:lineRule="auto"/>
            </w:pPr>
            <w:r/>
            <w:r>
              <w:rPr>
                <w:rFonts w:ascii="Times New Roman" w:hAnsi="Times New Roman"/>
                <w:b w:val="0"/>
                <w:i w:val="0"/>
                <w:sz w:val="20"/>
              </w:rPr>
              <w:t>.030</w:t>
            </w:r>
          </w:p>
        </w:tc>
        <w:tc>
          <w:tcPr>
            <w:tcW w:type="dxa" w:w="1568"/>
            <w:vAlign w:val="center"/>
          </w:tcPr>
          <w:p>
            <w:pPr>
              <w:spacing w:before="0" w:after="0" w:line="264" w:lineRule="auto"/>
            </w:pPr>
            <w:r/>
            <w:r>
              <w:rPr>
                <w:rFonts w:ascii="Times New Roman" w:hAnsi="Times New Roman"/>
                <w:b w:val="0"/>
                <w:i w:val="0"/>
                <w:sz w:val="20"/>
              </w:rPr>
              <w:t>0.620</w:t>
            </w:r>
          </w:p>
        </w:tc>
      </w:tr>
      <w:tr>
        <w:tc>
          <w:tcPr>
            <w:tcW w:type="dxa" w:w="1568"/>
            <w:vAlign w:val="center"/>
          </w:tcPr>
          <w:p>
            <w:pPr>
              <w:spacing w:before="0" w:after="0" w:line="264" w:lineRule="auto"/>
            </w:pPr>
            <w:r/>
            <w:r>
              <w:rPr>
                <w:rFonts w:ascii="Times New Roman" w:hAnsi="Times New Roman"/>
                <w:b w:val="0"/>
                <w:i w:val="0"/>
                <w:sz w:val="20"/>
              </w:rPr>
              <w:t>JLCM day-14 class (intersection cohort)</w:t>
            </w:r>
          </w:p>
        </w:tc>
        <w:tc>
          <w:tcPr>
            <w:tcW w:type="dxa" w:w="1568"/>
            <w:vAlign w:val="center"/>
          </w:tcPr>
          <w:p>
            <w:pPr>
              <w:spacing w:before="0" w:after="0" w:line="264" w:lineRule="auto"/>
            </w:pPr>
            <w:r/>
            <w:r>
              <w:rPr>
                <w:rFonts w:ascii="Times New Roman" w:hAnsi="Times New Roman"/>
                <w:b w:val="0"/>
                <w:i w:val="0"/>
                <w:sz w:val="20"/>
              </w:rPr>
              <w:t>binary</w:t>
            </w:r>
          </w:p>
        </w:tc>
        <w:tc>
          <w:tcPr>
            <w:tcW w:type="dxa" w:w="1568"/>
            <w:vAlign w:val="center"/>
          </w:tcPr>
          <w:p>
            <w:pPr>
              <w:spacing w:before="0" w:after="0" w:line="264" w:lineRule="auto"/>
            </w:pPr>
            <w:r/>
            <w:r>
              <w:rPr>
                <w:rFonts w:ascii="Times New Roman" w:hAnsi="Times New Roman"/>
                <w:b w:val="0"/>
                <w:i w:val="0"/>
                <w:sz w:val="20"/>
              </w:rPr>
              <w:t>—</w:t>
            </w:r>
          </w:p>
        </w:tc>
        <w:tc>
          <w:tcPr>
            <w:tcW w:type="dxa" w:w="1568"/>
            <w:vAlign w:val="center"/>
          </w:tcPr>
          <w:p>
            <w:pPr>
              <w:spacing w:before="0" w:after="0" w:line="264" w:lineRule="auto"/>
            </w:pPr>
            <w:r/>
            <w:r>
              <w:rPr>
                <w:rFonts w:ascii="Times New Roman" w:hAnsi="Times New Roman"/>
                <w:b w:val="0"/>
                <w:i w:val="0"/>
                <w:sz w:val="20"/>
              </w:rPr>
              <w:t>—</w:t>
            </w:r>
          </w:p>
        </w:tc>
        <w:tc>
          <w:tcPr>
            <w:tcW w:type="dxa" w:w="1568"/>
            <w:vAlign w:val="center"/>
          </w:tcPr>
          <w:p>
            <w:pPr>
              <w:spacing w:before="0" w:after="0" w:line="264" w:lineRule="auto"/>
            </w:pPr>
            <w:r/>
            <w:r>
              <w:rPr>
                <w:rFonts w:ascii="Times New Roman" w:hAnsi="Times New Roman"/>
                <w:b w:val="0"/>
                <w:i w:val="0"/>
                <w:sz w:val="20"/>
              </w:rPr>
              <w:t>—</w:t>
            </w:r>
          </w:p>
        </w:tc>
        <w:tc>
          <w:tcPr>
            <w:tcW w:type="dxa" w:w="1568"/>
            <w:vAlign w:val="center"/>
          </w:tcPr>
          <w:p>
            <w:pPr>
              <w:spacing w:before="0" w:after="0" w:line="264" w:lineRule="auto"/>
            </w:pPr>
            <w:r/>
            <w:r>
              <w:rPr>
                <w:rFonts w:ascii="Times New Roman" w:hAnsi="Times New Roman"/>
                <w:b/>
                <w:sz w:val="20"/>
              </w:rPr>
              <w:t>0.806</w:t>
            </w:r>
          </w:p>
        </w:tc>
      </w:tr>
    </w:tbl>
    <w:p>
      <w:pPr>
        <w:spacing w:after="120"/>
      </w:pPr>
    </w:p>
    <w:p>
      <w:pPr>
        <w:spacing w:before="0" w:after="120" w:line="312" w:lineRule="auto"/>
        <w:jc w:val="both"/>
      </w:pPr>
      <w:r>
        <w:rPr>
          <w:rFonts w:ascii="Times New Roman" w:hAnsi="Times New Roman"/>
          <w:b w:val="0"/>
          <w:i w:val="0"/>
          <w:sz w:val="21"/>
        </w:rPr>
        <w:t>This analysis refits the binary classifier of Frank et al. (JCO 2021)</w:t>
      </w:r>
      <w:r>
        <w:rPr>
          <w:rFonts w:ascii="Times New Roman" w:hAnsi="Times New Roman"/>
          <w:b w:val="0"/>
          <w:i w:val="0"/>
          <w:sz w:val="21"/>
          <w:vertAlign w:val="superscript"/>
        </w:rPr>
        <w:t>11</w:t>
      </w:r>
      <w:r>
        <w:rPr>
          <w:rFonts w:ascii="Times New Roman" w:hAnsi="Times New Roman"/>
          <w:b w:val="0"/>
          <w:i w:val="0"/>
          <w:sz w:val="21"/>
        </w:rPr>
        <w:t xml:space="preserve"> on the same ALYCANTE patients and the same assay used elsewhere in this manuscript. The day-14 JLCM gains approximately 14 days of clinical anticipation and improves discrimination by +0.149 C-index units (EFS) relative to the day-28 Frank-style readout. This benchmark is the only direct quantitative comparison between the two classifiers on a matched cohort and assay.</w:t>
      </w:r>
    </w:p>
    <w:p>
      <w:pPr>
        <w:keepNext/>
        <w:spacing w:before="200" w:after="120" w:line="288" w:lineRule="auto"/>
      </w:pPr>
      <w:r>
        <w:rPr>
          <w:rFonts w:ascii="Times New Roman" w:hAnsi="Times New Roman"/>
          <w:b/>
          <w:i/>
          <w:sz w:val="26"/>
        </w:rPr>
        <w:t>Supplemental Table S19. Sensitivity of the day-14 JLCM-ctDNA hazard ratio to penalty choice (multivariable Cox model: JLCM + IPI ≥3 + log₁₀ baseline MTV; n = 44 EFS; n = 41 OS)</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shd w:val="clear" w:color="auto" w:fill="E7E6E6"/>
          </w:tcPr>
          <w:p>
            <w:pPr>
              <w:spacing w:before="0" w:after="0" w:line="264" w:lineRule="auto"/>
            </w:pPr>
            <w:r/>
            <w:r>
              <w:rPr>
                <w:rFonts w:ascii="Times New Roman" w:hAnsi="Times New Roman"/>
                <w:b/>
                <w:i w:val="0"/>
                <w:sz w:val="20"/>
              </w:rPr>
              <w:t>Method</w:t>
            </w:r>
          </w:p>
        </w:tc>
        <w:tc>
          <w:tcPr>
            <w:tcW w:type="dxa" w:w="1176"/>
            <w:vAlign w:val="center"/>
            <w:shd w:val="clear" w:color="auto" w:fill="E7E6E6"/>
          </w:tcPr>
          <w:p>
            <w:pPr>
              <w:spacing w:before="0" w:after="0" w:line="264" w:lineRule="auto"/>
            </w:pPr>
            <w:r/>
            <w:r>
              <w:rPr>
                <w:rFonts w:ascii="Times New Roman" w:hAnsi="Times New Roman"/>
                <w:b/>
                <w:i w:val="0"/>
                <w:sz w:val="20"/>
              </w:rPr>
              <w:t>EFS HR</w:t>
            </w:r>
          </w:p>
        </w:tc>
        <w:tc>
          <w:tcPr>
            <w:tcW w:type="dxa" w:w="1176"/>
            <w:vAlign w:val="center"/>
            <w:shd w:val="clear" w:color="auto" w:fill="E7E6E6"/>
          </w:tcPr>
          <w:p>
            <w:pPr>
              <w:spacing w:before="0" w:after="0" w:line="264" w:lineRule="auto"/>
            </w:pPr>
            <w:r/>
            <w:r>
              <w:rPr>
                <w:rFonts w:ascii="Times New Roman" w:hAnsi="Times New Roman"/>
                <w:b/>
                <w:i w:val="0"/>
                <w:sz w:val="20"/>
              </w:rPr>
              <w:t>EFS 95% CI</w:t>
            </w:r>
          </w:p>
        </w:tc>
        <w:tc>
          <w:tcPr>
            <w:tcW w:type="dxa" w:w="1176"/>
            <w:vAlign w:val="center"/>
            <w:shd w:val="clear" w:color="auto" w:fill="E7E6E6"/>
          </w:tcPr>
          <w:p>
            <w:pPr>
              <w:spacing w:before="0" w:after="0" w:line="264" w:lineRule="auto"/>
            </w:pPr>
            <w:r/>
            <w:r>
              <w:rPr>
                <w:rFonts w:ascii="Times New Roman" w:hAnsi="Times New Roman"/>
                <w:b/>
                <w:i w:val="0"/>
                <w:sz w:val="20"/>
              </w:rPr>
              <w:t>EFS P</w:t>
            </w:r>
          </w:p>
        </w:tc>
        <w:tc>
          <w:tcPr>
            <w:tcW w:type="dxa" w:w="1176"/>
            <w:vAlign w:val="center"/>
            <w:shd w:val="clear" w:color="auto" w:fill="E7E6E6"/>
          </w:tcPr>
          <w:p>
            <w:pPr>
              <w:spacing w:before="0" w:after="0" w:line="264" w:lineRule="auto"/>
            </w:pPr>
            <w:r/>
            <w:r>
              <w:rPr>
                <w:rFonts w:ascii="Times New Roman" w:hAnsi="Times New Roman"/>
                <w:b/>
                <w:i w:val="0"/>
                <w:sz w:val="20"/>
              </w:rPr>
              <w:t>EFS C-index</w:t>
            </w:r>
          </w:p>
        </w:tc>
        <w:tc>
          <w:tcPr>
            <w:tcW w:type="dxa" w:w="1176"/>
            <w:vAlign w:val="center"/>
            <w:shd w:val="clear" w:color="auto" w:fill="E7E6E6"/>
          </w:tcPr>
          <w:p>
            <w:pPr>
              <w:spacing w:before="0" w:after="0" w:line="264" w:lineRule="auto"/>
            </w:pPr>
            <w:r/>
            <w:r>
              <w:rPr>
                <w:rFonts w:ascii="Times New Roman" w:hAnsi="Times New Roman"/>
                <w:b/>
                <w:i w:val="0"/>
                <w:sz w:val="20"/>
              </w:rPr>
              <w:t>OS HR</w:t>
            </w:r>
          </w:p>
        </w:tc>
        <w:tc>
          <w:tcPr>
            <w:tcW w:type="dxa" w:w="1176"/>
            <w:vAlign w:val="center"/>
            <w:shd w:val="clear" w:color="auto" w:fill="E7E6E6"/>
          </w:tcPr>
          <w:p>
            <w:pPr>
              <w:spacing w:before="0" w:after="0" w:line="264" w:lineRule="auto"/>
            </w:pPr>
            <w:r/>
            <w:r>
              <w:rPr>
                <w:rFonts w:ascii="Times New Roman" w:hAnsi="Times New Roman"/>
                <w:b/>
                <w:i w:val="0"/>
                <w:sz w:val="20"/>
              </w:rPr>
              <w:t>OS 95% CI</w:t>
            </w:r>
          </w:p>
        </w:tc>
        <w:tc>
          <w:tcPr>
            <w:tcW w:type="dxa" w:w="1176"/>
            <w:vAlign w:val="center"/>
            <w:shd w:val="clear" w:color="auto" w:fill="E7E6E6"/>
          </w:tcPr>
          <w:p>
            <w:pPr>
              <w:spacing w:before="0" w:after="0" w:line="264" w:lineRule="auto"/>
            </w:pPr>
            <w:r/>
            <w:r>
              <w:rPr>
                <w:rFonts w:ascii="Times New Roman" w:hAnsi="Times New Roman"/>
                <w:b/>
                <w:i w:val="0"/>
                <w:sz w:val="20"/>
              </w:rPr>
              <w:t>OS P</w:t>
            </w:r>
          </w:p>
        </w:tc>
      </w:tr>
      <w:tr>
        <w:tc>
          <w:tcPr>
            <w:tcW w:type="dxa" w:w="1176"/>
            <w:vAlign w:val="center"/>
          </w:tcPr>
          <w:p>
            <w:pPr>
              <w:spacing w:before="0" w:after="0" w:line="264" w:lineRule="auto"/>
            </w:pPr>
            <w:r/>
            <w:r>
              <w:rPr>
                <w:rFonts w:ascii="Times New Roman" w:hAnsi="Times New Roman"/>
                <w:b w:val="0"/>
                <w:i w:val="0"/>
                <w:sz w:val="20"/>
              </w:rPr>
              <w:t>Ridge λ = 0.01</w:t>
            </w:r>
          </w:p>
        </w:tc>
        <w:tc>
          <w:tcPr>
            <w:tcW w:type="dxa" w:w="1176"/>
            <w:vAlign w:val="center"/>
          </w:tcPr>
          <w:p>
            <w:pPr>
              <w:spacing w:before="0" w:after="0" w:line="264" w:lineRule="auto"/>
            </w:pPr>
            <w:r/>
            <w:r>
              <w:rPr>
                <w:rFonts w:ascii="Times New Roman" w:hAnsi="Times New Roman"/>
                <w:b w:val="0"/>
                <w:i w:val="0"/>
                <w:sz w:val="20"/>
              </w:rPr>
              <w:t>163.6</w:t>
            </w:r>
          </w:p>
        </w:tc>
        <w:tc>
          <w:tcPr>
            <w:tcW w:type="dxa" w:w="1176"/>
            <w:vAlign w:val="center"/>
          </w:tcPr>
          <w:p>
            <w:pPr>
              <w:spacing w:before="0" w:after="0" w:line="264" w:lineRule="auto"/>
            </w:pPr>
            <w:r/>
            <w:r>
              <w:rPr>
                <w:rFonts w:ascii="Times New Roman" w:hAnsi="Times New Roman"/>
                <w:b w:val="0"/>
                <w:i w:val="0"/>
                <w:sz w:val="20"/>
              </w:rPr>
              <w:t>13.4 to ∞</w:t>
            </w:r>
          </w:p>
        </w:tc>
        <w:tc>
          <w:tcPr>
            <w:tcW w:type="dxa" w:w="1176"/>
            <w:vAlign w:val="center"/>
          </w:tcPr>
          <w:p>
            <w:pPr>
              <w:spacing w:before="0" w:after="0" w:line="264" w:lineRule="auto"/>
            </w:pPr>
            <w:r/>
            <w:r>
              <w:rPr>
                <w:rFonts w:ascii="Times New Roman" w:hAnsi="Times New Roman"/>
                <w:b w:val="0"/>
                <w:i w:val="0"/>
                <w:sz w:val="20"/>
              </w:rPr>
              <w:t>6.5×10⁻⁵</w:t>
            </w:r>
          </w:p>
        </w:tc>
        <w:tc>
          <w:tcPr>
            <w:tcW w:type="dxa" w:w="1176"/>
            <w:vAlign w:val="center"/>
          </w:tcPr>
          <w:p>
            <w:pPr>
              <w:spacing w:before="0" w:after="0" w:line="264" w:lineRule="auto"/>
            </w:pPr>
            <w:r/>
            <w:r>
              <w:rPr>
                <w:rFonts w:ascii="Times New Roman" w:hAnsi="Times New Roman"/>
                <w:b w:val="0"/>
                <w:i w:val="0"/>
                <w:sz w:val="20"/>
              </w:rPr>
              <w:t>0.856</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r>
      <w:tr>
        <w:tc>
          <w:tcPr>
            <w:tcW w:type="dxa" w:w="1176"/>
            <w:vAlign w:val="center"/>
          </w:tcPr>
          <w:p>
            <w:pPr>
              <w:spacing w:before="0" w:after="0" w:line="264" w:lineRule="auto"/>
            </w:pPr>
            <w:r/>
            <w:r>
              <w:rPr>
                <w:rFonts w:ascii="Times New Roman" w:hAnsi="Times New Roman"/>
                <w:b w:val="0"/>
                <w:i w:val="0"/>
                <w:sz w:val="20"/>
              </w:rPr>
              <w:t>Ridge λ = 0.05</w:t>
            </w:r>
          </w:p>
        </w:tc>
        <w:tc>
          <w:tcPr>
            <w:tcW w:type="dxa" w:w="1176"/>
            <w:vAlign w:val="center"/>
          </w:tcPr>
          <w:p>
            <w:pPr>
              <w:spacing w:before="0" w:after="0" w:line="264" w:lineRule="auto"/>
            </w:pPr>
            <w:r/>
            <w:r>
              <w:rPr>
                <w:rFonts w:ascii="Times New Roman" w:hAnsi="Times New Roman"/>
                <w:b w:val="0"/>
                <w:i w:val="0"/>
                <w:sz w:val="20"/>
              </w:rPr>
              <w:t>34.1</w:t>
            </w:r>
          </w:p>
        </w:tc>
        <w:tc>
          <w:tcPr>
            <w:tcW w:type="dxa" w:w="1176"/>
            <w:vAlign w:val="center"/>
          </w:tcPr>
          <w:p>
            <w:pPr>
              <w:spacing w:before="0" w:after="0" w:line="264" w:lineRule="auto"/>
            </w:pPr>
            <w:r/>
            <w:r>
              <w:rPr>
                <w:rFonts w:ascii="Times New Roman" w:hAnsi="Times New Roman"/>
                <w:b w:val="0"/>
                <w:i w:val="0"/>
                <w:sz w:val="20"/>
              </w:rPr>
              <w:t>8.5-136</w:t>
            </w:r>
          </w:p>
        </w:tc>
        <w:tc>
          <w:tcPr>
            <w:tcW w:type="dxa" w:w="1176"/>
            <w:vAlign w:val="center"/>
          </w:tcPr>
          <w:p>
            <w:pPr>
              <w:spacing w:before="0" w:after="0" w:line="264" w:lineRule="auto"/>
            </w:pPr>
            <w:r/>
            <w:r>
              <w:rPr>
                <w:rFonts w:ascii="Times New Roman" w:hAnsi="Times New Roman"/>
                <w:b w:val="0"/>
                <w:i w:val="0"/>
                <w:sz w:val="20"/>
              </w:rPr>
              <w:t>5.9×10⁻⁷</w:t>
            </w:r>
          </w:p>
        </w:tc>
        <w:tc>
          <w:tcPr>
            <w:tcW w:type="dxa" w:w="1176"/>
            <w:vAlign w:val="center"/>
          </w:tcPr>
          <w:p>
            <w:pPr>
              <w:spacing w:before="0" w:after="0" w:line="264" w:lineRule="auto"/>
            </w:pPr>
            <w:r/>
            <w:r>
              <w:rPr>
                <w:rFonts w:ascii="Times New Roman" w:hAnsi="Times New Roman"/>
                <w:b w:val="0"/>
                <w:i w:val="0"/>
                <w:sz w:val="20"/>
              </w:rPr>
              <w:t>0.849</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r>
      <w:tr>
        <w:tc>
          <w:tcPr>
            <w:tcW w:type="dxa" w:w="1176"/>
            <w:vAlign w:val="center"/>
          </w:tcPr>
          <w:p>
            <w:pPr>
              <w:spacing w:before="0" w:after="0" w:line="264" w:lineRule="auto"/>
            </w:pPr>
            <w:r/>
            <w:r>
              <w:rPr>
                <w:rFonts w:ascii="Times New Roman" w:hAnsi="Times New Roman"/>
                <w:b/>
                <w:sz w:val="20"/>
              </w:rPr>
              <w:t>Ridge λ = 0.1 (reported in main text)</w:t>
            </w:r>
          </w:p>
        </w:tc>
        <w:tc>
          <w:tcPr>
            <w:tcW w:type="dxa" w:w="1176"/>
            <w:vAlign w:val="center"/>
          </w:tcPr>
          <w:p>
            <w:pPr>
              <w:spacing w:before="0" w:after="0" w:line="264" w:lineRule="auto"/>
            </w:pPr>
            <w:r/>
            <w:r>
              <w:rPr>
                <w:rFonts w:ascii="Times New Roman" w:hAnsi="Times New Roman"/>
                <w:b/>
                <w:sz w:val="20"/>
              </w:rPr>
              <w:t>17.1</w:t>
            </w:r>
          </w:p>
        </w:tc>
        <w:tc>
          <w:tcPr>
            <w:tcW w:type="dxa" w:w="1176"/>
            <w:vAlign w:val="center"/>
          </w:tcPr>
          <w:p>
            <w:pPr>
              <w:spacing w:before="0" w:after="0" w:line="264" w:lineRule="auto"/>
            </w:pPr>
            <w:r/>
            <w:r>
              <w:rPr>
                <w:rFonts w:ascii="Times New Roman" w:hAnsi="Times New Roman"/>
                <w:b/>
                <w:sz w:val="20"/>
              </w:rPr>
              <w:t>5.8-50.9</w:t>
            </w:r>
          </w:p>
        </w:tc>
        <w:tc>
          <w:tcPr>
            <w:tcW w:type="dxa" w:w="1176"/>
            <w:vAlign w:val="center"/>
          </w:tcPr>
          <w:p>
            <w:pPr>
              <w:spacing w:before="0" w:after="0" w:line="264" w:lineRule="auto"/>
            </w:pPr>
            <w:r/>
            <w:r>
              <w:rPr>
                <w:rFonts w:ascii="Times New Roman" w:hAnsi="Times New Roman"/>
                <w:b/>
                <w:sz w:val="20"/>
              </w:rPr>
              <w:t>3.3×10⁻⁷</w:t>
            </w:r>
          </w:p>
        </w:tc>
        <w:tc>
          <w:tcPr>
            <w:tcW w:type="dxa" w:w="1176"/>
            <w:vAlign w:val="center"/>
          </w:tcPr>
          <w:p>
            <w:pPr>
              <w:spacing w:before="0" w:after="0" w:line="264" w:lineRule="auto"/>
            </w:pPr>
            <w:r/>
            <w:r>
              <w:rPr>
                <w:rFonts w:ascii="Times New Roman" w:hAnsi="Times New Roman"/>
                <w:b/>
                <w:sz w:val="20"/>
              </w:rPr>
              <w:t>0.850</w:t>
            </w:r>
          </w:p>
        </w:tc>
        <w:tc>
          <w:tcPr>
            <w:tcW w:type="dxa" w:w="1176"/>
            <w:vAlign w:val="center"/>
          </w:tcPr>
          <w:p>
            <w:pPr>
              <w:spacing w:before="0" w:after="0" w:line="264" w:lineRule="auto"/>
            </w:pPr>
            <w:r/>
            <w:r>
              <w:rPr>
                <w:rFonts w:ascii="Times New Roman" w:hAnsi="Times New Roman"/>
                <w:b/>
                <w:sz w:val="20"/>
              </w:rPr>
              <w:t>7.75</w:t>
            </w:r>
          </w:p>
        </w:tc>
        <w:tc>
          <w:tcPr>
            <w:tcW w:type="dxa" w:w="1176"/>
            <w:vAlign w:val="center"/>
          </w:tcPr>
          <w:p>
            <w:pPr>
              <w:spacing w:before="0" w:after="0" w:line="264" w:lineRule="auto"/>
            </w:pPr>
            <w:r/>
            <w:r>
              <w:rPr>
                <w:rFonts w:ascii="Times New Roman" w:hAnsi="Times New Roman"/>
                <w:b/>
                <w:sz w:val="20"/>
              </w:rPr>
              <w:t>2.7-22.2</w:t>
            </w:r>
          </w:p>
        </w:tc>
        <w:tc>
          <w:tcPr>
            <w:tcW w:type="dxa" w:w="1176"/>
            <w:vAlign w:val="center"/>
          </w:tcPr>
          <w:p>
            <w:pPr>
              <w:spacing w:before="0" w:after="0" w:line="264" w:lineRule="auto"/>
            </w:pPr>
            <w:r/>
            <w:r>
              <w:rPr>
                <w:rFonts w:ascii="Times New Roman" w:hAnsi="Times New Roman"/>
                <w:b/>
                <w:sz w:val="20"/>
              </w:rPr>
              <w:t>1.4×10⁻⁴</w:t>
            </w:r>
          </w:p>
        </w:tc>
      </w:tr>
      <w:tr>
        <w:tc>
          <w:tcPr>
            <w:tcW w:type="dxa" w:w="1176"/>
            <w:vAlign w:val="center"/>
          </w:tcPr>
          <w:p>
            <w:pPr>
              <w:spacing w:before="0" w:after="0" w:line="264" w:lineRule="auto"/>
            </w:pPr>
            <w:r/>
            <w:r>
              <w:rPr>
                <w:rFonts w:ascii="Times New Roman" w:hAnsi="Times New Roman"/>
                <w:b w:val="0"/>
                <w:i w:val="0"/>
                <w:sz w:val="20"/>
              </w:rPr>
              <w:t>Ridge λ = 0.2</w:t>
            </w:r>
          </w:p>
        </w:tc>
        <w:tc>
          <w:tcPr>
            <w:tcW w:type="dxa" w:w="1176"/>
            <w:vAlign w:val="center"/>
          </w:tcPr>
          <w:p>
            <w:pPr>
              <w:spacing w:before="0" w:after="0" w:line="264" w:lineRule="auto"/>
            </w:pPr>
            <w:r/>
            <w:r>
              <w:rPr>
                <w:rFonts w:ascii="Times New Roman" w:hAnsi="Times New Roman"/>
                <w:b w:val="0"/>
                <w:i w:val="0"/>
                <w:sz w:val="20"/>
              </w:rPr>
              <w:t>8.8</w:t>
            </w:r>
          </w:p>
        </w:tc>
        <w:tc>
          <w:tcPr>
            <w:tcW w:type="dxa" w:w="1176"/>
            <w:vAlign w:val="center"/>
          </w:tcPr>
          <w:p>
            <w:pPr>
              <w:spacing w:before="0" w:after="0" w:line="264" w:lineRule="auto"/>
            </w:pPr>
            <w:r/>
            <w:r>
              <w:rPr>
                <w:rFonts w:ascii="Times New Roman" w:hAnsi="Times New Roman"/>
                <w:b w:val="0"/>
                <w:i w:val="0"/>
                <w:sz w:val="20"/>
              </w:rPr>
              <w:t>3.7-21</w:t>
            </w:r>
          </w:p>
        </w:tc>
        <w:tc>
          <w:tcPr>
            <w:tcW w:type="dxa" w:w="1176"/>
            <w:vAlign w:val="center"/>
          </w:tcPr>
          <w:p>
            <w:pPr>
              <w:spacing w:before="0" w:after="0" w:line="264" w:lineRule="auto"/>
            </w:pPr>
            <w:r/>
            <w:r>
              <w:rPr>
                <w:rFonts w:ascii="Times New Roman" w:hAnsi="Times New Roman"/>
                <w:b w:val="0"/>
                <w:i w:val="0"/>
                <w:sz w:val="20"/>
              </w:rPr>
              <w:t>7.5×10⁻⁷</w:t>
            </w:r>
          </w:p>
        </w:tc>
        <w:tc>
          <w:tcPr>
            <w:tcW w:type="dxa" w:w="1176"/>
            <w:vAlign w:val="center"/>
          </w:tcPr>
          <w:p>
            <w:pPr>
              <w:spacing w:before="0" w:after="0" w:line="264" w:lineRule="auto"/>
            </w:pPr>
            <w:r/>
            <w:r>
              <w:rPr>
                <w:rFonts w:ascii="Times New Roman" w:hAnsi="Times New Roman"/>
                <w:b w:val="0"/>
                <w:i w:val="0"/>
                <w:sz w:val="20"/>
              </w:rPr>
              <w:t>0.842</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r>
      <w:tr>
        <w:tc>
          <w:tcPr>
            <w:tcW w:type="dxa" w:w="1176"/>
            <w:vAlign w:val="center"/>
          </w:tcPr>
          <w:p>
            <w:pPr>
              <w:spacing w:before="0" w:after="0" w:line="264" w:lineRule="auto"/>
            </w:pPr>
            <w:r/>
            <w:r>
              <w:rPr>
                <w:rFonts w:ascii="Times New Roman" w:hAnsi="Times New Roman"/>
                <w:b w:val="0"/>
                <w:i w:val="0"/>
                <w:sz w:val="20"/>
              </w:rPr>
              <w:t>Ridge λ = 0.5</w:t>
            </w:r>
          </w:p>
        </w:tc>
        <w:tc>
          <w:tcPr>
            <w:tcW w:type="dxa" w:w="1176"/>
            <w:vAlign w:val="center"/>
          </w:tcPr>
          <w:p>
            <w:pPr>
              <w:spacing w:before="0" w:after="0" w:line="264" w:lineRule="auto"/>
            </w:pPr>
            <w:r/>
            <w:r>
              <w:rPr>
                <w:rFonts w:ascii="Times New Roman" w:hAnsi="Times New Roman"/>
                <w:b w:val="0"/>
                <w:i w:val="0"/>
                <w:sz w:val="20"/>
              </w:rPr>
              <w:t>4.0</w:t>
            </w:r>
          </w:p>
        </w:tc>
        <w:tc>
          <w:tcPr>
            <w:tcW w:type="dxa" w:w="1176"/>
            <w:vAlign w:val="center"/>
          </w:tcPr>
          <w:p>
            <w:pPr>
              <w:spacing w:before="0" w:after="0" w:line="264" w:lineRule="auto"/>
            </w:pPr>
            <w:r/>
            <w:r>
              <w:rPr>
                <w:rFonts w:ascii="Times New Roman" w:hAnsi="Times New Roman"/>
                <w:b w:val="0"/>
                <w:i w:val="0"/>
                <w:sz w:val="20"/>
              </w:rPr>
              <w:t>2.1-7.5</w:t>
            </w:r>
          </w:p>
        </w:tc>
        <w:tc>
          <w:tcPr>
            <w:tcW w:type="dxa" w:w="1176"/>
            <w:vAlign w:val="center"/>
          </w:tcPr>
          <w:p>
            <w:pPr>
              <w:spacing w:before="0" w:after="0" w:line="264" w:lineRule="auto"/>
            </w:pPr>
            <w:r/>
            <w:r>
              <w:rPr>
                <w:rFonts w:ascii="Times New Roman" w:hAnsi="Times New Roman"/>
                <w:b w:val="0"/>
                <w:i w:val="0"/>
                <w:sz w:val="20"/>
              </w:rPr>
              <w:t>1.7×10⁻⁵</w:t>
            </w:r>
          </w:p>
        </w:tc>
        <w:tc>
          <w:tcPr>
            <w:tcW w:type="dxa" w:w="1176"/>
            <w:vAlign w:val="center"/>
          </w:tcPr>
          <w:p>
            <w:pPr>
              <w:spacing w:before="0" w:after="0" w:line="264" w:lineRule="auto"/>
            </w:pPr>
            <w:r/>
            <w:r>
              <w:rPr>
                <w:rFonts w:ascii="Times New Roman" w:hAnsi="Times New Roman"/>
                <w:b w:val="0"/>
                <w:i w:val="0"/>
                <w:sz w:val="20"/>
              </w:rPr>
              <w:t>0.840</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r>
      <w:tr>
        <w:tc>
          <w:tcPr>
            <w:tcW w:type="dxa" w:w="1176"/>
            <w:vAlign w:val="center"/>
          </w:tcPr>
          <w:p>
            <w:pPr>
              <w:spacing w:before="0" w:after="0" w:line="264" w:lineRule="auto"/>
            </w:pPr>
            <w:r/>
            <w:r>
              <w:rPr>
                <w:rFonts w:ascii="Times New Roman" w:hAnsi="Times New Roman"/>
                <w:b w:val="0"/>
                <w:i w:val="0"/>
                <w:sz w:val="20"/>
              </w:rPr>
              <w:t>Ridge λ = 1.0</w:t>
            </w:r>
          </w:p>
        </w:tc>
        <w:tc>
          <w:tcPr>
            <w:tcW w:type="dxa" w:w="1176"/>
            <w:vAlign w:val="center"/>
          </w:tcPr>
          <w:p>
            <w:pPr>
              <w:spacing w:before="0" w:after="0" w:line="264" w:lineRule="auto"/>
            </w:pPr>
            <w:r/>
            <w:r>
              <w:rPr>
                <w:rFonts w:ascii="Times New Roman" w:hAnsi="Times New Roman"/>
                <w:b w:val="0"/>
                <w:i w:val="0"/>
                <w:sz w:val="20"/>
              </w:rPr>
              <w:t>2.5</w:t>
            </w:r>
          </w:p>
        </w:tc>
        <w:tc>
          <w:tcPr>
            <w:tcW w:type="dxa" w:w="1176"/>
            <w:vAlign w:val="center"/>
          </w:tcPr>
          <w:p>
            <w:pPr>
              <w:spacing w:before="0" w:after="0" w:line="264" w:lineRule="auto"/>
            </w:pPr>
            <w:r/>
            <w:r>
              <w:rPr>
                <w:rFonts w:ascii="Times New Roman" w:hAnsi="Times New Roman"/>
                <w:b w:val="0"/>
                <w:i w:val="0"/>
                <w:sz w:val="20"/>
              </w:rPr>
              <w:t>1.5-4.0</w:t>
            </w:r>
          </w:p>
        </w:tc>
        <w:tc>
          <w:tcPr>
            <w:tcW w:type="dxa" w:w="1176"/>
            <w:vAlign w:val="center"/>
          </w:tcPr>
          <w:p>
            <w:pPr>
              <w:spacing w:before="0" w:after="0" w:line="264" w:lineRule="auto"/>
            </w:pPr>
            <w:r/>
            <w:r>
              <w:rPr>
                <w:rFonts w:ascii="Times New Roman" w:hAnsi="Times New Roman"/>
                <w:b w:val="0"/>
                <w:i w:val="0"/>
                <w:sz w:val="20"/>
              </w:rPr>
              <w:t>3.5×10⁻⁴</w:t>
            </w:r>
          </w:p>
        </w:tc>
        <w:tc>
          <w:tcPr>
            <w:tcW w:type="dxa" w:w="1176"/>
            <w:vAlign w:val="center"/>
          </w:tcPr>
          <w:p>
            <w:pPr>
              <w:spacing w:before="0" w:after="0" w:line="264" w:lineRule="auto"/>
            </w:pPr>
            <w:r/>
            <w:r>
              <w:rPr>
                <w:rFonts w:ascii="Times New Roman" w:hAnsi="Times New Roman"/>
                <w:b w:val="0"/>
                <w:i w:val="0"/>
                <w:sz w:val="20"/>
              </w:rPr>
              <w:t>0.840</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r>
      <w:tr>
        <w:tc>
          <w:tcPr>
            <w:tcW w:type="dxa" w:w="1176"/>
            <w:vAlign w:val="center"/>
          </w:tcPr>
          <w:p>
            <w:pPr>
              <w:spacing w:before="0" w:after="0" w:line="264" w:lineRule="auto"/>
            </w:pPr>
            <w:r/>
            <w:r>
              <w:rPr>
                <w:rFonts w:ascii="Times New Roman" w:hAnsi="Times New Roman"/>
                <w:b/>
                <w:sz w:val="20"/>
              </w:rPr>
              <w:t>Firth-penalized Cox (`coxphf`)</w:t>
            </w:r>
          </w:p>
        </w:tc>
        <w:tc>
          <w:tcPr>
            <w:tcW w:type="dxa" w:w="1176"/>
            <w:vAlign w:val="center"/>
          </w:tcPr>
          <w:p>
            <w:pPr>
              <w:spacing w:before="0" w:after="0" w:line="264" w:lineRule="auto"/>
            </w:pPr>
            <w:r/>
            <w:r>
              <w:rPr>
                <w:rFonts w:ascii="Times New Roman" w:hAnsi="Times New Roman"/>
                <w:b/>
                <w:sz w:val="20"/>
              </w:rPr>
              <w:t>231</w:t>
            </w:r>
          </w:p>
        </w:tc>
        <w:tc>
          <w:tcPr>
            <w:tcW w:type="dxa" w:w="1176"/>
            <w:vAlign w:val="center"/>
          </w:tcPr>
          <w:p>
            <w:pPr>
              <w:spacing w:before="0" w:after="0" w:line="264" w:lineRule="auto"/>
            </w:pPr>
            <w:r/>
            <w:r>
              <w:rPr>
                <w:rFonts w:ascii="Times New Roman" w:hAnsi="Times New Roman"/>
                <w:b/>
                <w:sz w:val="20"/>
              </w:rPr>
              <w:t>24.9-3.1×10⁴</w:t>
            </w:r>
          </w:p>
        </w:tc>
        <w:tc>
          <w:tcPr>
            <w:tcW w:type="dxa" w:w="1176"/>
            <w:vAlign w:val="center"/>
          </w:tcPr>
          <w:p>
            <w:pPr>
              <w:spacing w:before="0" w:after="0" w:line="264" w:lineRule="auto"/>
            </w:pPr>
            <w:r/>
            <w:r>
              <w:rPr>
                <w:rFonts w:ascii="Times New Roman" w:hAnsi="Times New Roman"/>
                <w:b/>
                <w:sz w:val="20"/>
              </w:rPr>
              <w:t>6.6×10⁻¹²</w:t>
            </w:r>
          </w:p>
        </w:tc>
        <w:tc>
          <w:tcPr>
            <w:tcW w:type="dxa" w:w="1176"/>
            <w:vAlign w:val="center"/>
          </w:tcPr>
          <w:p>
            <w:pPr>
              <w:spacing w:before="0" w:after="0" w:line="264" w:lineRule="auto"/>
            </w:pPr>
            <w:r/>
            <w:r>
              <w:rPr>
                <w:rFonts w:ascii="Times New Roman" w:hAnsi="Times New Roman"/>
                <w:b/>
                <w:sz w:val="20"/>
              </w:rPr>
              <w:t>0.847</w:t>
            </w:r>
          </w:p>
        </w:tc>
        <w:tc>
          <w:tcPr>
            <w:tcW w:type="dxa" w:w="1176"/>
            <w:vAlign w:val="center"/>
          </w:tcPr>
          <w:p>
            <w:pPr>
              <w:spacing w:before="0" w:after="0" w:line="264" w:lineRule="auto"/>
            </w:pPr>
            <w:r/>
            <w:r>
              <w:rPr>
                <w:rFonts w:ascii="Times New Roman" w:hAnsi="Times New Roman"/>
                <w:b/>
                <w:sz w:val="20"/>
              </w:rPr>
              <w:t>23.1</w:t>
            </w:r>
          </w:p>
        </w:tc>
        <w:tc>
          <w:tcPr>
            <w:tcW w:type="dxa" w:w="1176"/>
            <w:vAlign w:val="center"/>
          </w:tcPr>
          <w:p>
            <w:pPr>
              <w:spacing w:before="0" w:after="0" w:line="264" w:lineRule="auto"/>
            </w:pPr>
            <w:r/>
            <w:r>
              <w:rPr>
                <w:rFonts w:ascii="Times New Roman" w:hAnsi="Times New Roman"/>
                <w:b/>
                <w:sz w:val="20"/>
              </w:rPr>
              <w:t>5.1-223</w:t>
            </w:r>
          </w:p>
        </w:tc>
        <w:tc>
          <w:tcPr>
            <w:tcW w:type="dxa" w:w="1176"/>
            <w:vAlign w:val="center"/>
          </w:tcPr>
          <w:p>
            <w:pPr>
              <w:spacing w:before="0" w:after="0" w:line="264" w:lineRule="auto"/>
            </w:pPr>
            <w:r/>
            <w:r>
              <w:rPr>
                <w:rFonts w:ascii="Times New Roman" w:hAnsi="Times New Roman"/>
                <w:b/>
                <w:sz w:val="20"/>
              </w:rPr>
              <w:t>2.5×10⁻⁶</w:t>
            </w:r>
          </w:p>
        </w:tc>
      </w:tr>
      <w:tr>
        <w:tc>
          <w:tcPr>
            <w:tcW w:type="dxa" w:w="1176"/>
            <w:vAlign w:val="center"/>
          </w:tcPr>
          <w:p>
            <w:pPr>
              <w:spacing w:before="0" w:after="0" w:line="264" w:lineRule="auto"/>
            </w:pPr>
            <w:r/>
            <w:r>
              <w:rPr>
                <w:rFonts w:ascii="Times New Roman" w:hAnsi="Times New Roman"/>
                <w:b w:val="0"/>
                <w:i w:val="0"/>
                <w:sz w:val="20"/>
              </w:rPr>
              <w:t>R::ridge (λ = 0.1)</w:t>
            </w:r>
          </w:p>
        </w:tc>
        <w:tc>
          <w:tcPr>
            <w:tcW w:type="dxa" w:w="1176"/>
            <w:vAlign w:val="center"/>
          </w:tcPr>
          <w:p>
            <w:pPr>
              <w:spacing w:before="0" w:after="0" w:line="264" w:lineRule="auto"/>
            </w:pPr>
            <w:r/>
            <w:r>
              <w:rPr>
                <w:rFonts w:ascii="Times New Roman" w:hAnsi="Times New Roman"/>
                <w:b w:val="0"/>
                <w:i w:val="0"/>
                <w:sz w:val="20"/>
              </w:rPr>
              <w:t>637</w:t>
            </w:r>
          </w:p>
        </w:tc>
        <w:tc>
          <w:tcPr>
            <w:tcW w:type="dxa" w:w="1176"/>
            <w:vAlign w:val="center"/>
          </w:tcPr>
          <w:p>
            <w:pPr>
              <w:spacing w:before="0" w:after="0" w:line="264" w:lineRule="auto"/>
            </w:pPr>
            <w:r/>
            <w:r>
              <w:rPr>
                <w:rFonts w:ascii="Times New Roman" w:hAnsi="Times New Roman"/>
                <w:b w:val="0"/>
                <w:i w:val="0"/>
                <w:sz w:val="20"/>
              </w:rPr>
              <w:t>6.6 to ∞</w:t>
            </w:r>
          </w:p>
        </w:tc>
        <w:tc>
          <w:tcPr>
            <w:tcW w:type="dxa" w:w="1176"/>
            <w:vAlign w:val="center"/>
          </w:tcPr>
          <w:p>
            <w:pPr>
              <w:spacing w:before="0" w:after="0" w:line="264" w:lineRule="auto"/>
            </w:pPr>
            <w:r/>
            <w:r>
              <w:rPr>
                <w:rFonts w:ascii="Times New Roman" w:hAnsi="Times New Roman"/>
                <w:b w:val="0"/>
                <w:i w:val="0"/>
                <w:sz w:val="20"/>
              </w:rPr>
              <w:t>5.7×10⁻³</w:t>
            </w:r>
          </w:p>
        </w:tc>
        <w:tc>
          <w:tcPr>
            <w:tcW w:type="dxa" w:w="1176"/>
            <w:vAlign w:val="center"/>
          </w:tcPr>
          <w:p>
            <w:pPr>
              <w:spacing w:before="0" w:after="0" w:line="264" w:lineRule="auto"/>
            </w:pPr>
            <w:r/>
            <w:r>
              <w:rPr>
                <w:rFonts w:ascii="Times New Roman" w:hAnsi="Times New Roman"/>
                <w:b w:val="0"/>
                <w:i w:val="0"/>
                <w:sz w:val="20"/>
              </w:rPr>
              <w:t>0.845</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c>
          <w:tcPr>
            <w:tcW w:type="dxa" w:w="1176"/>
            <w:vAlign w:val="center"/>
          </w:tcPr>
          <w:p>
            <w:pPr>
              <w:spacing w:before="0" w:after="0" w:line="264" w:lineRule="auto"/>
            </w:pPr>
            <w:r/>
            <w:r>
              <w:rPr>
                <w:rFonts w:ascii="Times New Roman" w:hAnsi="Times New Roman"/>
                <w:b w:val="0"/>
                <w:i w:val="0"/>
                <w:sz w:val="20"/>
              </w:rPr>
              <w:t>—</w:t>
            </w:r>
          </w:p>
        </w:tc>
      </w:tr>
    </w:tbl>
    <w:p>
      <w:pPr>
        <w:spacing w:after="120"/>
      </w:pPr>
    </w:p>
    <w:p>
      <w:pPr>
        <w:spacing w:before="0" w:after="120" w:line="312" w:lineRule="auto"/>
        <w:jc w:val="both"/>
      </w:pPr>
      <w:r>
        <w:rPr>
          <w:rFonts w:ascii="Times New Roman" w:hAnsi="Times New Roman"/>
          <w:b w:val="0"/>
          <w:i w:val="0"/>
          <w:sz w:val="21"/>
        </w:rPr>
        <w:t>The unpenalized Cox model diverges because of quasi-complete class separation (22/22 EFS events in high-risk vs 4/22 in low-risk). The point estimate of the hazard ratio is strongly dependent on the penalty chosen (range 2.5 to &gt;5000 across reasonable choices), but the direction (HR ≫ 1) and the statistical significance are robust across all methods. Critically, the bootstrap-corrected univariable C-index remains stable at ≈0.85 across the entire grid, indicating that the discriminative information extracted by the classifier is independent of the penalty choice, while the magnitude of the HR is structurally inflated by the separation. Firth penalization (Firth 1993</w:t>
      </w:r>
      <w:r>
        <w:rPr>
          <w:rFonts w:ascii="Times New Roman" w:hAnsi="Times New Roman"/>
          <w:b w:val="0"/>
          <w:i w:val="0"/>
          <w:sz w:val="21"/>
          <w:vertAlign w:val="superscript"/>
        </w:rPr>
        <w:t>20</w:t>
      </w:r>
      <w:r>
        <w:rPr>
          <w:rFonts w:ascii="Times New Roman" w:hAnsi="Times New Roman"/>
          <w:b w:val="0"/>
          <w:i w:val="0"/>
          <w:sz w:val="21"/>
        </w:rPr>
        <w:t>; Heinze-Schemper 2001</w:t>
      </w:r>
      <w:r>
        <w:rPr>
          <w:rFonts w:ascii="Times New Roman" w:hAnsi="Times New Roman"/>
          <w:b w:val="0"/>
          <w:i w:val="0"/>
          <w:sz w:val="21"/>
          <w:vertAlign w:val="superscript"/>
        </w:rPr>
        <w:t>21</w:t>
      </w:r>
      <w:r>
        <w:rPr>
          <w:rFonts w:ascii="Times New Roman" w:hAnsi="Times New Roman"/>
          <w:b w:val="0"/>
          <w:i w:val="0"/>
          <w:sz w:val="21"/>
        </w:rPr>
        <w:t>) is the canonical solution to monotone likelihood in Cox regression and is reported alongside the ridge estimates for transparency. The main text reports the ridge λ = 0.1 estimate (17.7 EFS univariable, 17.1 multivariable; 8.4 OS univariable, 7.75 multivariable) as the published headline number with the Firth estimate cited in the Discussion as a sensitivity reference.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