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3057C" w14:textId="77777777" w:rsidR="008624E8" w:rsidRDefault="00000000">
      <w:pPr>
        <w:spacing w:after="80"/>
        <w:jc w:val="center"/>
      </w:pPr>
      <w:r>
        <w:rPr>
          <w:b/>
          <w:color w:val="1F4E79"/>
          <w:sz w:val="44"/>
        </w:rPr>
        <w:t>LA CERTIFICAZIONE PED (2014/68/UE)</w:t>
      </w:r>
      <w:r>
        <w:rPr>
          <w:b/>
          <w:color w:val="1F4E79"/>
          <w:sz w:val="44"/>
        </w:rPr>
        <w:br/>
      </w:r>
    </w:p>
    <w:p w14:paraId="51C62164" w14:textId="77777777" w:rsidR="008624E8" w:rsidRDefault="00000000">
      <w:pPr>
        <w:spacing w:after="480"/>
        <w:jc w:val="center"/>
      </w:pPr>
      <w:r>
        <w:rPr>
          <w:i/>
          <w:color w:val="787878"/>
          <w:sz w:val="24"/>
        </w:rPr>
        <w:t>Guida Tecnica ai Requisiti, Classificazione di Rischio e Valutazione della Conformità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624E8" w14:paraId="2F11FF12" w14:textId="77777777">
        <w:trPr>
          <w:jc w:val="center"/>
        </w:trPr>
        <w:tc>
          <w:tcPr>
            <w:tcW w:w="9360" w:type="dxa"/>
            <w:shd w:val="clear" w:color="auto" w:fill="F2F4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FBCDC6" w14:textId="77777777" w:rsidR="008624E8" w:rsidRDefault="00000000">
            <w:pPr>
              <w:spacing w:after="0"/>
            </w:pPr>
            <w:r>
              <w:rPr>
                <w:b/>
                <w:color w:val="1F4E79"/>
              </w:rPr>
              <w:t xml:space="preserve">Sintesi Normativa: </w:t>
            </w:r>
            <w:r>
              <w:t>La Direttiva PED disciplina la progettazione, la fabbricazione e la valutazione di conformità delle attrezzature a pressione e degli insiemi aventi una pressione massima ammissibile (PS) superiore a 0,5 bar relativi, ai fini della marcatura CE.</w:t>
            </w:r>
          </w:p>
        </w:tc>
      </w:tr>
    </w:tbl>
    <w:p w14:paraId="60731CB8" w14:textId="77777777" w:rsidR="008624E8" w:rsidRDefault="008624E8">
      <w:pPr>
        <w:spacing w:after="240"/>
      </w:pPr>
    </w:p>
    <w:p w14:paraId="3B21AE1D" w14:textId="77777777" w:rsidR="008624E8" w:rsidRDefault="00000000">
      <w:pPr>
        <w:pStyle w:val="Titolo1"/>
        <w:spacing w:before="320" w:after="120"/>
      </w:pPr>
      <w:r>
        <w:rPr>
          <w:rFonts w:ascii="Arial" w:hAnsi="Arial"/>
          <w:color w:val="1F4E79"/>
          <w:sz w:val="32"/>
        </w:rPr>
        <w:t>1. Introduzione e Definizioni</w:t>
      </w:r>
    </w:p>
    <w:p w14:paraId="16215E43" w14:textId="77777777" w:rsidR="008624E8" w:rsidRDefault="00000000">
      <w:r>
        <w:t>La Direttiva PED (Pressure Equipment Directive) 2014/68/UE è una norma europea cogente che si applica all'immissione sul mercato e alla messa in servizio delle attrezzature in pressione. Essa protegge la sicurezza di persone, animali e beni dai rischi associati a guasti ed esplosioni strutturali.</w:t>
      </w:r>
    </w:p>
    <w:p w14:paraId="1929EE02" w14:textId="77777777" w:rsidR="008624E8" w:rsidRDefault="00000000">
      <w:pPr>
        <w:pStyle w:val="Titolo2"/>
        <w:spacing w:before="320" w:after="120"/>
      </w:pPr>
      <w:r>
        <w:rPr>
          <w:rFonts w:ascii="Arial" w:hAnsi="Arial"/>
          <w:color w:val="41719C"/>
        </w:rPr>
        <w:t>1.1 Tipologie di Attrezzature</w:t>
      </w:r>
    </w:p>
    <w:p w14:paraId="789C8902" w14:textId="77777777" w:rsidR="008624E8" w:rsidRDefault="00000000">
      <w:pPr>
        <w:pStyle w:val="Puntoelenco"/>
        <w:spacing w:after="60"/>
      </w:pPr>
      <w:r>
        <w:rPr>
          <w:b/>
          <w:color w:val="1F4E79"/>
        </w:rPr>
        <w:t xml:space="preserve">Recipienti: </w:t>
      </w:r>
      <w:r>
        <w:t>Alloggiamenti progettati e costruiti per contenere fluidi in pressione (es. serbatoi, scambiatori).</w:t>
      </w:r>
    </w:p>
    <w:p w14:paraId="2840FA1A" w14:textId="77777777" w:rsidR="008624E8" w:rsidRDefault="00000000">
      <w:pPr>
        <w:pStyle w:val="Puntoelenco"/>
        <w:spacing w:after="60"/>
      </w:pPr>
      <w:r>
        <w:rPr>
          <w:b/>
          <w:color w:val="1F4E79"/>
        </w:rPr>
        <w:t xml:space="preserve">Tubazioni: </w:t>
      </w:r>
      <w:r>
        <w:t>Componenti destinati al trasporto di fluidi in un sistema a pressione.</w:t>
      </w:r>
    </w:p>
    <w:p w14:paraId="5FC79255" w14:textId="77777777" w:rsidR="008624E8" w:rsidRDefault="00000000">
      <w:pPr>
        <w:pStyle w:val="Puntoelenco"/>
        <w:spacing w:after="60"/>
      </w:pPr>
      <w:r>
        <w:rPr>
          <w:b/>
          <w:color w:val="1F4E79"/>
        </w:rPr>
        <w:t xml:space="preserve">Accessori a pressione: </w:t>
      </w:r>
      <w:r>
        <w:t>Dispositivi con funzione di servizio (es. valvole, filtri).</w:t>
      </w:r>
    </w:p>
    <w:p w14:paraId="0645AD62" w14:textId="77777777" w:rsidR="008624E8" w:rsidRDefault="00000000">
      <w:pPr>
        <w:pStyle w:val="Puntoelenco"/>
        <w:spacing w:after="60"/>
      </w:pPr>
      <w:r>
        <w:rPr>
          <w:b/>
          <w:color w:val="1F4E79"/>
        </w:rPr>
        <w:t xml:space="preserve">Accessori di sicurezza: </w:t>
      </w:r>
      <w:r>
        <w:t>Dispositivi per la protezione dai superamenti dei limiti (es. valvole di sicurezza).</w:t>
      </w:r>
    </w:p>
    <w:p w14:paraId="3A194EA9" w14:textId="77777777" w:rsidR="008624E8" w:rsidRDefault="00000000">
      <w:pPr>
        <w:pStyle w:val="Puntoelenco"/>
        <w:spacing w:after="60"/>
      </w:pPr>
      <w:r>
        <w:rPr>
          <w:b/>
          <w:color w:val="1F4E79"/>
        </w:rPr>
        <w:t xml:space="preserve">Insiemi: </w:t>
      </w:r>
      <w:r>
        <w:t>Elementi assemblati da un fabbricante per costituire un tutto integrato (es. caldaie).</w:t>
      </w:r>
    </w:p>
    <w:p w14:paraId="77EB7CDD" w14:textId="77777777" w:rsidR="008624E8" w:rsidRDefault="00000000">
      <w:pPr>
        <w:pStyle w:val="Titolo1"/>
        <w:spacing w:before="320" w:after="120"/>
      </w:pPr>
      <w:r>
        <w:rPr>
          <w:rFonts w:ascii="Arial" w:hAnsi="Arial"/>
          <w:color w:val="1F4E79"/>
          <w:sz w:val="32"/>
        </w:rPr>
        <w:t>2. Categorie di Rischio</w:t>
      </w:r>
    </w:p>
    <w:p w14:paraId="20221177" w14:textId="77777777" w:rsidR="008624E8" w:rsidRDefault="00000000">
      <w:r>
        <w:t>Le attrezzature sono suddivise in quattro categorie di rischio (dalla I alla IV) in base alla pericolosità del fluido (Gruppo 1 per fluidi infiammabili/tossici, Gruppo 2 per fluidi neutri) e alle grandezze fisiche (prodotto Pressione per Volume [PS x V] o Pressione per Diametro [PS x DN]). Al di sotto della Categoria I si applica l'Articolo 4 Comma 3 (SEP), che impone la Corretta Prassi Costruttiva senza marcatura CE.</w:t>
      </w:r>
    </w:p>
    <w:p w14:paraId="5604BA5A" w14:textId="77777777" w:rsidR="008624E8" w:rsidRDefault="00000000">
      <w:pPr>
        <w:pStyle w:val="Titolo1"/>
        <w:spacing w:before="320" w:after="120"/>
      </w:pPr>
      <w:r>
        <w:rPr>
          <w:rFonts w:ascii="Arial" w:hAnsi="Arial"/>
          <w:color w:val="1F4E79"/>
          <w:sz w:val="32"/>
        </w:rPr>
        <w:t>3. Moduli di Conformità</w:t>
      </w:r>
    </w:p>
    <w:p w14:paraId="0E6DEA69" w14:textId="77777777" w:rsidR="008624E8" w:rsidRDefault="00000000">
      <w:r>
        <w:t>A seconda della categoria di appartenenza del prodotto, il fabbricante deve seguire specifici moduli di valutazione, che determinano il livello di sorveglianza da parte di un Organismo Notificato: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24E8" w14:paraId="73F34DC4" w14:textId="77777777">
        <w:trPr>
          <w:jc w:val="center"/>
        </w:trPr>
        <w:tc>
          <w:tcPr>
            <w:tcW w:w="312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C67E36" w14:textId="77777777" w:rsidR="008624E8" w:rsidRDefault="00000000">
            <w:pPr>
              <w:jc w:val="center"/>
            </w:pPr>
            <w:r>
              <w:rPr>
                <w:b/>
                <w:color w:val="FFFFFF"/>
              </w:rPr>
              <w:lastRenderedPageBreak/>
              <w:t>Categoria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E49CB5" w14:textId="77777777" w:rsidR="008624E8" w:rsidRDefault="00000000">
            <w:pPr>
              <w:jc w:val="center"/>
            </w:pPr>
            <w:r>
              <w:rPr>
                <w:b/>
                <w:color w:val="FFFFFF"/>
              </w:rPr>
              <w:t>Moduli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5CA358" w14:textId="77777777" w:rsidR="008624E8" w:rsidRDefault="00000000">
            <w:pPr>
              <w:jc w:val="center"/>
            </w:pPr>
            <w:r>
              <w:rPr>
                <w:b/>
                <w:color w:val="FFFFFF"/>
              </w:rPr>
              <w:t>Coinvolgimento Ente Terzo</w:t>
            </w:r>
          </w:p>
        </w:tc>
      </w:tr>
      <w:tr w:rsidR="008624E8" w14:paraId="7B57756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B607F" w14:textId="77777777" w:rsidR="008624E8" w:rsidRDefault="00000000">
            <w:pPr>
              <w:spacing w:after="0"/>
            </w:pPr>
            <w:r>
              <w:t>Categoria I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1D18F" w14:textId="77777777" w:rsidR="008624E8" w:rsidRDefault="00000000">
            <w:pPr>
              <w:spacing w:after="0"/>
            </w:pPr>
            <w:r>
              <w:t>Modulo A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14A97" w14:textId="77777777" w:rsidR="008624E8" w:rsidRDefault="00000000">
            <w:pPr>
              <w:spacing w:after="0"/>
            </w:pPr>
            <w:r>
              <w:t>Nessuno (Autocertificazione interna del fabbricante).</w:t>
            </w:r>
          </w:p>
        </w:tc>
      </w:tr>
      <w:tr w:rsidR="008624E8" w14:paraId="151AF3E2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07FBB" w14:textId="77777777" w:rsidR="008624E8" w:rsidRDefault="00000000">
            <w:pPr>
              <w:spacing w:after="0"/>
            </w:pPr>
            <w:r>
              <w:t>Categoria II</w:t>
            </w:r>
          </w:p>
        </w:tc>
        <w:tc>
          <w:tcPr>
            <w:tcW w:w="312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11E7E" w14:textId="77777777" w:rsidR="008624E8" w:rsidRDefault="00000000">
            <w:pPr>
              <w:spacing w:after="0"/>
            </w:pPr>
            <w:r>
              <w:t>A2, D1, E1</w:t>
            </w:r>
          </w:p>
        </w:tc>
        <w:tc>
          <w:tcPr>
            <w:tcW w:w="312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BC7C0" w14:textId="77777777" w:rsidR="008624E8" w:rsidRDefault="00000000">
            <w:pPr>
              <w:spacing w:after="0"/>
            </w:pPr>
            <w:r>
              <w:t>Sorveglianza o prove a intervalli casuali sulla produzione.</w:t>
            </w:r>
          </w:p>
        </w:tc>
      </w:tr>
      <w:tr w:rsidR="008624E8" w14:paraId="2F4536E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AE491" w14:textId="77777777" w:rsidR="008624E8" w:rsidRDefault="00000000">
            <w:pPr>
              <w:spacing w:after="0"/>
            </w:pPr>
            <w:r>
              <w:t>Categoria III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F62BF" w14:textId="77777777" w:rsidR="008624E8" w:rsidRDefault="00000000">
            <w:pPr>
              <w:spacing w:after="0"/>
            </w:pPr>
            <w:r>
              <w:t>B+C2, B+D, B+E, F, H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C0B95" w14:textId="77777777" w:rsidR="008624E8" w:rsidRDefault="00000000">
            <w:pPr>
              <w:spacing w:after="0"/>
            </w:pPr>
            <w:r>
              <w:t>Esame del progetto/tipo o Certificazione Sistema Qualità.</w:t>
            </w:r>
          </w:p>
        </w:tc>
      </w:tr>
      <w:tr w:rsidR="008624E8" w14:paraId="5975B13E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94692" w14:textId="77777777" w:rsidR="008624E8" w:rsidRDefault="00000000">
            <w:pPr>
              <w:spacing w:after="0"/>
            </w:pPr>
            <w:r>
              <w:t>Categoria IV</w:t>
            </w:r>
          </w:p>
        </w:tc>
        <w:tc>
          <w:tcPr>
            <w:tcW w:w="312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4F70D" w14:textId="77777777" w:rsidR="008624E8" w:rsidRDefault="00000000">
            <w:pPr>
              <w:spacing w:after="0"/>
            </w:pPr>
            <w:r>
              <w:t>B+D, B+F, G, H1</w:t>
            </w:r>
          </w:p>
        </w:tc>
        <w:tc>
          <w:tcPr>
            <w:tcW w:w="312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6876A" w14:textId="77777777" w:rsidR="008624E8" w:rsidRDefault="00000000">
            <w:pPr>
              <w:spacing w:after="0"/>
            </w:pPr>
            <w:r>
              <w:t>Ispezione su ogni singolo pezzo (G) o Garanzia Qualità Totale con esame del progetto (H1).</w:t>
            </w:r>
          </w:p>
        </w:tc>
      </w:tr>
    </w:tbl>
    <w:p w14:paraId="131D7928" w14:textId="77777777" w:rsidR="008624E8" w:rsidRDefault="008624E8">
      <w:pPr>
        <w:spacing w:after="240"/>
      </w:pPr>
    </w:p>
    <w:p w14:paraId="6CBDC101" w14:textId="77777777" w:rsidR="008624E8" w:rsidRDefault="00000000">
      <w:pPr>
        <w:pStyle w:val="Titolo1"/>
        <w:spacing w:before="320" w:after="120"/>
      </w:pPr>
      <w:r>
        <w:rPr>
          <w:rFonts w:ascii="Arial" w:hAnsi="Arial"/>
          <w:color w:val="1F4E79"/>
          <w:sz w:val="32"/>
        </w:rPr>
        <w:t>4. Requisiti Essenziali di Sicurezza</w:t>
      </w:r>
    </w:p>
    <w:p w14:paraId="46A23C86" w14:textId="77777777" w:rsidR="008624E8" w:rsidRDefault="00000000">
      <w:pPr>
        <w:pStyle w:val="Puntoelenco"/>
        <w:spacing w:after="60"/>
      </w:pPr>
      <w:r>
        <w:t>Progettazione basata su norme armonizzate (es. EN 13445 per recipienti, EN 13480 per tubazioni).</w:t>
      </w:r>
    </w:p>
    <w:p w14:paraId="58F8AF94" w14:textId="77777777" w:rsidR="008624E8" w:rsidRDefault="00000000">
      <w:pPr>
        <w:pStyle w:val="Puntoelenco"/>
        <w:spacing w:after="60"/>
      </w:pPr>
      <w:r>
        <w:t>Materiali tracciabili con certificati di controllo idonei (es. tipo 3.1 o 3.2 secondo EN 10204).</w:t>
      </w:r>
    </w:p>
    <w:p w14:paraId="5774A4DE" w14:textId="77777777" w:rsidR="008624E8" w:rsidRDefault="00000000">
      <w:pPr>
        <w:pStyle w:val="Puntoelenco"/>
        <w:spacing w:after="60"/>
      </w:pPr>
      <w:r>
        <w:t>Giunzioni permanenti (saldature) eseguite da personale qualificato e approvato da ente terzo per Cat. II, III, IV.</w:t>
      </w:r>
    </w:p>
    <w:p w14:paraId="30E5CC44" w14:textId="77777777" w:rsidR="008624E8" w:rsidRDefault="00000000">
      <w:pPr>
        <w:pStyle w:val="Puntoelenco"/>
        <w:spacing w:after="60"/>
      </w:pPr>
      <w:r>
        <w:t>Esecuzione obbligatoria del collaudo finale mediante Prova Idraulica di pressione.</w:t>
      </w:r>
    </w:p>
    <w:p w14:paraId="7ADA0A97" w14:textId="77777777" w:rsidR="008624E8" w:rsidRDefault="00000000">
      <w:pPr>
        <w:pStyle w:val="Puntoelenco"/>
        <w:spacing w:after="60"/>
      </w:pPr>
      <w:r>
        <w:t>Redazione del Manuale di Istruzioni d'Uso e Manutenzione.</w:t>
      </w:r>
    </w:p>
    <w:sectPr w:rsidR="008624E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551859">
    <w:abstractNumId w:val="8"/>
  </w:num>
  <w:num w:numId="2" w16cid:durableId="97604900">
    <w:abstractNumId w:val="6"/>
  </w:num>
  <w:num w:numId="3" w16cid:durableId="1678385320">
    <w:abstractNumId w:val="5"/>
  </w:num>
  <w:num w:numId="4" w16cid:durableId="1269392176">
    <w:abstractNumId w:val="4"/>
  </w:num>
  <w:num w:numId="5" w16cid:durableId="726418657">
    <w:abstractNumId w:val="7"/>
  </w:num>
  <w:num w:numId="6" w16cid:durableId="439762146">
    <w:abstractNumId w:val="3"/>
  </w:num>
  <w:num w:numId="7" w16cid:durableId="1422288442">
    <w:abstractNumId w:val="2"/>
  </w:num>
  <w:num w:numId="8" w16cid:durableId="1620994595">
    <w:abstractNumId w:val="1"/>
  </w:num>
  <w:num w:numId="9" w16cid:durableId="37362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24E8"/>
    <w:rsid w:val="00AA1D8D"/>
    <w:rsid w:val="00B47730"/>
    <w:rsid w:val="00BF4430"/>
    <w:rsid w:val="00CB0664"/>
    <w:rsid w:val="00F73C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BC5070"/>
  <w14:defaultImageDpi w14:val="300"/>
  <w15:docId w15:val="{7B2281C0-94C6-4014-B333-81A5ADEC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rial" w:hAnsi="Arial"/>
      <w:color w:val="2D2D2D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Ginevra Malizia</cp:lastModifiedBy>
  <cp:revision>2</cp:revision>
  <dcterms:created xsi:type="dcterms:W3CDTF">2026-06-18T13:38:00Z</dcterms:created>
  <dcterms:modified xsi:type="dcterms:W3CDTF">2026-06-18T13:38:00Z</dcterms:modified>
  <cp:category/>
</cp:coreProperties>
</file>