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8</w:t>
      </w:r>
    </w:p>
    <w:p>
      <w:pPr>
        <w:pStyle w:val="Heading1"/>
      </w:pPr>
      <w:r>
        <w:t>Machines That Hand Back Physics</w:t>
      </w:r>
    </w:p>
    <w:p>
      <w:pPr>
        <w:pStyle w:val="BookSection"/>
      </w:pPr>
      <w:r>
        <w:t>An Exact Mapping, and Its Hedge</w:t>
      </w:r>
    </w:p>
    <w:p>
      <w:r>
        <w:rPr>
          <w:i w:val="0"/>
        </w:rPr>
        <w:t xml:space="preserve">On 14 October 2014 Pankaj Mehta and David J. Schwab posted a preprint proposing an exact mapping from Leo Kadanoff's variational renormalization group onto stacked restricted Boltzmann machines, illustrated on the nearest-neighbour Ising model in one and two dimensions. The construction is short enough to state. Variational renormalization introduces a set of coarse-grained variables </w:t>
      </w:r>
      <m:oMath>
        <m:r>
          <m:t>h</m:t>
        </m:r>
      </m:oMath>
      <w:r>
        <w:rPr>
          <w:i w:val="0"/>
        </w:rPr>
        <w:t xml:space="preserve"> alongside the microscopic spins </w:t>
      </w:r>
      <m:oMath>
        <m:r>
          <m:t>v</m:t>
        </m:r>
      </m:oMath>
      <w:r>
        <w:rPr>
          <w:i w:val="0"/>
        </w:rPr>
        <w:t xml:space="preserve"> and couples them through a function </w:t>
      </w:r>
      <m:oMath>
        <m:r>
          <m:t>T(v,h)</m:t>
        </m:r>
      </m:oMath>
      <w:r>
        <w:rPr>
          <w:i w:val="0"/>
        </w:rPr>
        <w:t>, then defines the coarse Hamiltonian by</w:t>
      </w:r>
    </w:p>
    <w:p>
      <w:pPr>
        <w:spacing w:before="200" w:after="200"/>
        <w:ind w:firstLine="0"/>
        <w:jc w:val="center"/>
        <w:contextualSpacing w:val="0"/>
      </w:pPr>
      <m:oMath>
        <m:sSup>
          <m:e>
            <m:r>
              <m:t>e</m:t>
            </m:r>
          </m:e>
          <m:sup>
            <m:r>
              <m:t>−</m:t>
            </m:r>
            <m:sSup>
              <m:e>
                <m:r>
                  <m:t>H</m:t>
                </m:r>
              </m:e>
              <m:sup>
                <m:r>
                  <m:rPr>
                    <m:sty m:val="p"/>
                  </m:rPr>
                  <m:t>RG</m:t>
                </m:r>
              </m:sup>
            </m:sSup>
            <m:r>
              <m:t>[h]</m:t>
            </m:r>
          </m:sup>
        </m:sSup>
        <m:r>
          <m:t>=</m:t>
        </m:r>
        <m:nary>
          <m:naryPr>
            <m:chr m:val="∑"/>
            <m:limLoc m:val="subSup"/>
            <m:grow m:val="1"/>
            <m:subHide m:val="off"/>
            <m:supHide m:val="on"/>
          </m:naryPr>
          <m:sub>
            <m:r>
              <m:t>v</m:t>
            </m:r>
          </m:sub>
          <m:sup/>
          <m:e>
            <m:sSup>
              <m:e>
                <m:r>
                  <m:t>e</m:t>
                </m:r>
              </m:e>
              <m:sup>
                <m:r>
                  <m:t>T(v,h)−H[v]</m:t>
                </m:r>
              </m:sup>
            </m:sSup>
          </m:e>
        </m:nary>
        <m:r>
          <m:t>.</m:t>
        </m:r>
      </m:oMath>
    </w:p>
    <w:p>
      <w:r>
        <w:rPr>
          <w:i w:val="0"/>
        </w:rPr>
        <w:t xml:space="preserve">If </w:t>
      </w:r>
      <m:oMath>
        <m:r>
          <m:t>T</m:t>
        </m:r>
      </m:oMath>
      <w:r>
        <w:rPr>
          <w:i w:val="0"/>
        </w:rPr>
        <w:t xml:space="preserve"> is chosen so that </w:t>
      </w:r>
      <m:oMath>
        <m:nary>
          <m:naryPr>
            <m:chr m:val="∑"/>
            <m:limLoc m:val="subSup"/>
            <m:grow m:val="1"/>
            <m:subHide m:val="off"/>
            <m:supHide m:val="on"/>
          </m:naryPr>
          <m:sub>
            <m:r>
              <m:t>h</m:t>
            </m:r>
          </m:sub>
          <m:sup/>
          <m:e>
            <m:sSup>
              <m:e>
                <m:r>
                  <m:t>e</m:t>
                </m:r>
              </m:e>
              <m:sup>
                <m:r>
                  <m:t>T(v,h)</m:t>
                </m:r>
              </m:sup>
            </m:sSup>
          </m:e>
        </m:nary>
        <m:r>
          <m:t>=1</m:t>
        </m:r>
      </m:oMath>
      <w:r>
        <w:rPr>
          <w:i w:val="0"/>
        </w:rPr>
        <w:t xml:space="preserve"> for every </w:t>
      </w:r>
      <m:oMath>
        <m:r>
          <m:t>v</m:t>
        </m:r>
      </m:oMath>
      <w:r>
        <w:rPr>
          <w:i w:val="0"/>
        </w:rPr>
        <w:t xml:space="preserve">, then summing the left side over </w:t>
      </w:r>
      <m:oMath>
        <m:r>
          <m:t>h</m:t>
        </m:r>
      </m:oMath>
      <w:r>
        <w:rPr>
          <w:i w:val="0"/>
        </w:rPr>
        <w:t xml:space="preserve"> returns the original partition function, and the coarse description is exact in the sense that </w:t>
      </w:r>
      <m:oMath>
        <m:sSup>
          <m:e>
            <m:r>
              <m:t>Z</m:t>
            </m:r>
          </m:e>
          <m:sup>
            <m:r>
              <m:rPr>
                <m:sty m:val="p"/>
              </m:rPr>
              <m:t>RG</m:t>
            </m:r>
          </m:sup>
        </m:sSup>
        <m:r>
          <m:t>=Z</m:t>
        </m:r>
      </m:oMath>
      <w:r>
        <w:rPr>
          <w:i w:val="0"/>
        </w:rPr>
        <w:t>. A restricted Boltzmann machine has exactly this shape. Its joint energy</w:t>
      </w:r>
    </w:p>
    <w:p>
      <w:pPr>
        <w:spacing w:before="200" w:after="200"/>
        <w:ind w:firstLine="0"/>
        <w:jc w:val="center"/>
        <w:contextualSpacing w:val="0"/>
      </w:pPr>
      <m:oMath>
        <m:r>
          <m:t>E(v,h)=−</m:t>
        </m:r>
        <m:nary>
          <m:naryPr>
            <m:chr m:val="∑"/>
            <m:limLoc m:val="subSup"/>
            <m:grow m:val="1"/>
            <m:subHide m:val="off"/>
            <m:supHide m:val="on"/>
          </m:naryPr>
          <m:sub>
            <m:r>
              <m:t>i</m:t>
            </m:r>
          </m:sub>
          <m:sup/>
          <m:e>
            <m:sSub>
              <m:e>
                <m:r>
                  <m:t>b</m:t>
                </m:r>
              </m:e>
              <m:sub>
                <m:r>
                  <m:t>i</m:t>
                </m:r>
              </m:sub>
            </m:sSub>
          </m:e>
        </m:nary>
        <m:sSub>
          <m:e>
            <m:r>
              <m:t>v</m:t>
            </m:r>
          </m:e>
          <m:sub>
            <m:r>
              <m:t>i</m:t>
            </m:r>
          </m:sub>
        </m:sSub>
        <m:r>
          <m:t>−</m:t>
        </m:r>
        <m:nary>
          <m:naryPr>
            <m:chr m:val="∑"/>
            <m:limLoc m:val="subSup"/>
            <m:grow m:val="1"/>
            <m:subHide m:val="off"/>
            <m:supHide m:val="on"/>
          </m:naryPr>
          <m:sub>
            <m:r>
              <m:t>j</m:t>
            </m:r>
          </m:sub>
          <m:sup/>
          <m:e>
            <m:sSub>
              <m:e>
                <m:r>
                  <m:t>c</m:t>
                </m:r>
              </m:e>
              <m:sub>
                <m:r>
                  <m:t>j</m:t>
                </m:r>
              </m:sub>
            </m:sSub>
          </m:e>
        </m:nary>
        <m:sSub>
          <m:e>
            <m:r>
              <m:t>h</m:t>
            </m:r>
          </m:e>
          <m:sub>
            <m:r>
              <m:t>j</m:t>
            </m:r>
          </m:sub>
        </m:sSub>
        <m:r>
          <m:t>−</m:t>
        </m:r>
        <m:nary>
          <m:naryPr>
            <m:chr m:val="∑"/>
            <m:limLoc m:val="subSup"/>
            <m:grow m:val="1"/>
            <m:subHide m:val="off"/>
            <m:supHide m:val="on"/>
          </m:naryPr>
          <m:sub>
            <m:r>
              <m:t>ij</m:t>
            </m:r>
          </m:sub>
          <m:sup/>
          <m:e>
            <m:sSub>
              <m:e>
                <m:r>
                  <m:t>w</m:t>
                </m:r>
              </m:e>
              <m:sub>
                <m:r>
                  <m:t>ij</m:t>
                </m:r>
              </m:sub>
            </m:sSub>
          </m:e>
        </m:nary>
        <m:sSub>
          <m:e>
            <m:r>
              <m:t>v</m:t>
            </m:r>
          </m:e>
          <m:sub>
            <m:r>
              <m:t>i</m:t>
            </m:r>
          </m:sub>
        </m:sSub>
        <m:sSub>
          <m:e>
            <m:r>
              <m:t>h</m:t>
            </m:r>
          </m:e>
          <m:sub>
            <m:r>
              <m:t>j</m:t>
            </m:r>
          </m:sub>
        </m:sSub>
      </m:oMath>
    </w:p>
    <w:p>
      <w:r>
        <w:rPr>
          <w:i w:val="0"/>
        </w:rPr>
        <w:t xml:space="preserve">contains no couplings within either layer, which is what restricted refers to, and which makes both conditional distributions factorize, so marginalizing over the visible layer produces a free energy on the hidden layer alone. Identifying </w:t>
      </w:r>
      <m:oMath>
        <m:r>
          <m:t>T(v,h)=−E(v,h)+H[v]</m:t>
        </m:r>
      </m:oMath>
      <w:r>
        <w:rPr>
          <w:i w:val="0"/>
        </w:rPr>
        <w:t xml:space="preserve"> makes that hidden-layer free energy equal to </w:t>
      </w:r>
      <m:oMath>
        <m:sSup>
          <m:e>
            <m:r>
              <m:t>H</m:t>
            </m:r>
          </m:e>
          <m:sup>
            <m:r>
              <m:rPr>
                <m:sty m:val="p"/>
              </m:rPr>
              <m:t>RG</m:t>
            </m:r>
          </m:sup>
        </m:sSup>
      </m:oMath>
      <w:r>
        <w:rPr>
          <w:i w:val="0"/>
        </w:rPr>
        <w:t>. Stack the machines and the coarse-graining iterates, and the suggestion is that a deep network trained without labels is doing what Kadanoff's block-spin construction does, layer by layer, with the features of successive layers as the successive effective theories.</w:t>
      </w:r>
    </w:p>
    <w:p>
      <w:r>
        <w:rPr>
          <w:i w:val="0"/>
        </w:rPr>
        <w:t xml:space="preserve">Everything then turns on whether a trained machine satisfies the per-configuration condition, and nothing in the training makes it do so. Under the identification just made, </w:t>
      </w:r>
      <m:oMath>
        <m:nary>
          <m:naryPr>
            <m:chr m:val="∑"/>
            <m:limLoc m:val="subSup"/>
            <m:grow m:val="1"/>
            <m:subHide m:val="off"/>
            <m:supHide m:val="on"/>
          </m:naryPr>
          <m:sub>
            <m:r>
              <m:t>h</m:t>
            </m:r>
          </m:sub>
          <m:sup/>
          <m:e>
            <m:sSup>
              <m:e>
                <m:r>
                  <m:t>e</m:t>
                </m:r>
              </m:e>
              <m:sup>
                <m:r>
                  <m:t>T(v,h)</m:t>
                </m:r>
              </m:sup>
            </m:sSup>
          </m:e>
        </m:nary>
        <m:r>
          <m:t>=1</m:t>
        </m:r>
      </m:oMath>
      <w:r>
        <w:rPr>
          <w:i w:val="0"/>
        </w:rPr>
        <w:t xml:space="preserve"> becomes </w:t>
      </w:r>
      <m:oMath>
        <m:nary>
          <m:naryPr>
            <m:chr m:val="∑"/>
            <m:limLoc m:val="subSup"/>
            <m:grow m:val="1"/>
            <m:subHide m:val="off"/>
            <m:supHide m:val="on"/>
          </m:naryPr>
          <m:sub>
            <m:r>
              <m:t>h</m:t>
            </m:r>
          </m:sub>
          <m:sup/>
          <m:e>
            <m:sSup>
              <m:e>
                <m:r>
                  <m:t>e</m:t>
                </m:r>
              </m:e>
              <m:sup>
                <m:r>
                  <m:t>−E(v,h)</m:t>
                </m:r>
              </m:sup>
            </m:sSup>
          </m:e>
        </m:nary>
        <m:r>
          <m:t>=</m:t>
        </m:r>
        <m:sSup>
          <m:e>
            <m:r>
              <m:t>e</m:t>
            </m:r>
          </m:e>
          <m:sup>
            <m:r>
              <m:t>−H[v]</m:t>
            </m:r>
          </m:sup>
        </m:sSup>
      </m:oMath>
      <w:r>
        <w:rPr>
          <w:i w:val="0"/>
        </w:rPr>
        <w:t xml:space="preserve">, which asks that the machine's unnormalized visible marginal equal the Boltzmann weight configuration by configuration. Maximum likelihood does not ask for that. It reduces a Kullback-Leibler divergence, which is an average over configurations weighted by how often they occur, and it halts wherever the capacity of a finite machine runs out; the overall normalization it never constrains at all, since a visible marginal only has to match its target up to a constant. What the identification does deliver unconditionally is </w:t>
      </w:r>
      <m:oMath>
        <m:sSup>
          <m:e>
            <m:r>
              <m:t>Z</m:t>
            </m:r>
          </m:e>
          <m:sup>
            <m:r>
              <m:rPr>
                <m:sty m:val="p"/>
              </m:rPr>
              <m:t>RG</m:t>
            </m:r>
          </m:sup>
        </m:sSup>
        <m:r>
          <m:t>=</m:t>
        </m:r>
        <m:nary>
          <m:naryPr>
            <m:chr m:val="∑"/>
            <m:limLoc m:val="subSup"/>
            <m:grow m:val="1"/>
            <m:subHide m:val="off"/>
            <m:supHide m:val="on"/>
          </m:naryPr>
          <m:sub>
            <m:r>
              <m:t>v,h</m:t>
            </m:r>
          </m:sub>
          <m:sup/>
          <m:e>
            <m:sSup>
              <m:e>
                <m:r>
                  <m:t>e</m:t>
                </m:r>
              </m:e>
              <m:sup>
                <m:r>
                  <m:t>−E(v,h)</m:t>
                </m:r>
              </m:sup>
            </m:sSup>
          </m:e>
        </m:nary>
      </m:oMath>
      <w:r>
        <w:rPr>
          <w:i w:val="0"/>
        </w:rPr>
        <w:t>, the machine's own partition function. So the exactness available for a trained machine is the agreement of two numbers, and it is available because a number can be rescaled into agreement.</w:t>
      </w:r>
    </w:p>
    <w:p>
      <w:r>
        <w:rPr>
          <w:i w:val="0"/>
        </w:rPr>
        <w:t>The preprint's own conclusion is weaker than its title. What Mehta and Schwab claim at the end is that deep learning may be employing a generalized renormalization-group-like scheme, and the gap between that hedge and the exactness advertised at the front is where the next decade of argument happened.</w:t>
      </w:r>
    </w:p>
    <w:p>
      <w:r>
        <w:rPr>
          <w:i w:val="0"/>
        </w:rPr>
        <w:t xml:space="preserve">Henry W. Lin and Max Tegmark attacked the identification directly in the first version of a 2016 preprint, in an appendix titled to make the objection unmissable: matching partition functions do not imply matching probability distributions. Two machines can reproduce </w:t>
      </w:r>
      <m:oMath>
        <m:r>
          <m:t>Z</m:t>
        </m:r>
      </m:oMath>
      <w:r>
        <w:rPr>
          <w:i w:val="0"/>
        </w:rPr>
        <w:t xml:space="preserve"> while assigning different weights to individual coarse states, and it is the weights, not the normalization, that carry the physics of which operators survive coarse-graining. The publication history of that objection matters for anyone trying to look it up. The counterexample appears only in the 2016 preprint versions, under a two-author byline; by the time the work appeared in the Journal of Statistical Physics in 2017 the appendix had been removed, David Rolnick had joined as third author, and what remained was a main-text remark that significant misconceptions about the connection existed in the literature.</w:t>
      </w:r>
    </w:p>
    <w:p>
      <w:r>
        <w:rPr>
          <w:i w:val="0"/>
        </w:rPr>
        <w:t>David J. Schwab and Pankaj Mehta replied within weeks that these claims were incorrect and stemmed from a misunderstanding of Kadanoff's variational procedure, and that the counterexample was in fact compatible with the mapping. The reply is a three-kilobyte arXiv comment, one version, no journal. There is no peer-reviewed venue in which the original position is restated: the long 2019 review that Mehta and Schwab wrote with five co-authors mentions the connection once, calling the layer-by-layer decorrelation of a deep Boltzmann machine reminiscent of renormalization procedures, and takes no position on the dispute at all. An argument conducted this way, between two constructions and two readings of the same construction, has no way to close. What closes it is a measurement.</w:t>
      </w:r>
    </w:p>
    <w:p>
      <w:pPr>
        <w:pStyle w:val="BookSection"/>
      </w:pPr>
      <w:r>
        <w:t>The Flow Runs the Wrong Way</w:t>
      </w:r>
    </w:p>
    <w:p>
      <w:r>
        <w:rPr>
          <w:i w:val="0"/>
        </w:rPr>
        <w:t xml:space="preserve">The renormalization group supplies its own tests, and they are tests of direction and of destination. Linearize a coarse-graining transformation with rescaling factor </w:t>
      </w:r>
      <m:oMath>
        <m:r>
          <m:t>b</m:t>
        </m:r>
      </m:oMath>
      <w:r>
        <w:rPr>
          <w:i w:val="0"/>
        </w:rPr>
        <w:t xml:space="preserve"> about a fixed point and the eigenoperators carry eigenvalues </w:t>
      </w:r>
      <m:oMath>
        <m:sSub>
          <m:e>
            <m:r>
              <m:t>Λ</m:t>
            </m:r>
          </m:e>
          <m:sub>
            <m:r>
              <m:t>k</m:t>
            </m:r>
          </m:sub>
        </m:sSub>
        <m:r>
          <m:t>(b)=</m:t>
        </m:r>
        <m:sSup>
          <m:e>
            <m:r>
              <m:t>b</m:t>
            </m:r>
          </m:e>
          <m:sup>
            <m:sSub>
              <m:e>
                <m:r>
                  <m:t>λ</m:t>
                </m:r>
              </m:e>
              <m:sub>
                <m:r>
                  <m:t>k</m:t>
                </m:r>
              </m:sub>
            </m:sSub>
          </m:sup>
        </m:sSup>
      </m:oMath>
      <w:r>
        <w:rPr>
          <w:i w:val="0"/>
        </w:rPr>
        <w:t xml:space="preserve">, the power-law form forced by the semigroup property of successive transformations. Michael E. Fisher's statement of the correspondence gives </w:t>
      </w:r>
      <m:oMath>
        <m:r>
          <m:t>ν=1/</m:t>
        </m:r>
        <m:sSub>
          <m:e>
            <m:r>
              <m:t>λ</m:t>
            </m:r>
          </m:e>
          <m:sub>
            <m:r>
              <m:t>1</m:t>
            </m:r>
          </m:sub>
        </m:sSub>
      </m:oMath>
      <w:r>
        <w:rPr>
          <w:i w:val="0"/>
        </w:rPr>
        <w:t xml:space="preserve"> for the leading thermal eigenvalue, and the sign of each </w:t>
      </w:r>
      <m:oMath>
        <m:sSub>
          <m:e>
            <m:r>
              <m:t>λ</m:t>
            </m:r>
          </m:e>
          <m:sub>
            <m:r>
              <m:t>k</m:t>
            </m:r>
          </m:sub>
        </m:sSub>
      </m:oMath>
      <w:r>
        <w:rPr>
          <w:i w:val="0"/>
        </w:rPr>
        <w:t xml:space="preserve"> sorts the operators into relevant, marginal and irrelevant. For the Ising model the reduced temperature is relevant, so </w:t>
      </w:r>
      <m:oMath>
        <m:sSub>
          <m:e>
            <m:r>
              <m:t>λ</m:t>
            </m:r>
          </m:e>
          <m:sub>
            <m:r>
              <m:t>1</m:t>
            </m:r>
          </m:sub>
        </m:sSub>
        <m:r>
          <m:t>=1/ν&gt;0</m:t>
        </m:r>
      </m:oMath>
      <w:r>
        <w:rPr>
          <w:i w:val="0"/>
        </w:rPr>
        <w:t xml:space="preserve"> and iteration multiplies any deviation </w:t>
      </w:r>
      <m:oMath>
        <m:r>
          <m:t>t</m:t>
        </m:r>
      </m:oMath>
      <w:r>
        <w:rPr>
          <w:i w:val="0"/>
        </w:rPr>
        <w:t xml:space="preserve"> from criticality by </w:t>
      </w:r>
      <m:oMath>
        <m:sSup>
          <m:e>
            <m:r>
              <m:t>b</m:t>
            </m:r>
          </m:e>
          <m:sup>
            <m:f>
              <m:fPr>
                <m:type m:val="lin"/>
              </m:fPr>
              <m:num>
                <m:r>
                  <m:t>1</m:t>
                </m:r>
              </m:num>
              <m:den>
                <m:r>
                  <m:t>ν</m:t>
                </m:r>
              </m:den>
            </m:f>
          </m:sup>
        </m:sSup>
      </m:oMath>
      <w:r>
        <w:rPr>
          <w:i w:val="0"/>
        </w:rPr>
        <w:t xml:space="preserve"> at every step. What the positive eigenvalue fixes is that </w:t>
      </w:r>
      <m:oMath>
        <m:d>
          <m:dPr>
            <m:begChr m:val="|"/>
            <m:sepChr m:val=""/>
            <m:endChr m:val="|"/>
          </m:dPr>
          <m:e>
            <m:r>
              <m:t>t</m:t>
            </m:r>
          </m:e>
        </m:d>
      </m:oMath>
      <w:r>
        <w:rPr>
          <w:i w:val="0"/>
        </w:rPr>
        <w:t xml:space="preserve"> grows; which way the temperature then runs, up or down, is fixed by the sign of </w:t>
      </w:r>
      <m:oMath>
        <m:r>
          <m:t>t</m:t>
        </m:r>
      </m:oMath>
      <w:r>
        <w:rPr>
          <w:i w:val="0"/>
        </w:rPr>
        <w:t xml:space="preserve"> at the start. Either way the system moves away from the critical temperature, and that is not a stylistic feature of the renormalization group. It is what makes the critical point critical: the fixed point is unstable in the thermal direction, and that instability is the whole content of </w:t>
      </w:r>
      <m:oMath>
        <m:r>
          <m:t>ν</m:t>
        </m:r>
      </m:oMath>
      <w:r>
        <w:rPr>
          <w:i w:val="0"/>
        </w:rPr>
        <w:t>.</w:t>
      </w:r>
    </w:p>
    <w:p>
      <w:r>
        <w:rPr>
          <w:i w:val="0"/>
        </w:rPr>
        <w:t>Satoshi Iso, Shotaro Shiba and Sumito Yokoo trained restricted Boltzmann machines without supervision on Ising configurations drawn at a range of temperatures, then generated new configurations from the trained machines and repeated the process, reading off an effective temperature at each stage. The temperature approaches the critical value along the flow, where a coarse-graining transformation would carry it away from the critical value whichever side it began on. The paper reports the direction; it does not explain it, and no mechanism for it has been supplied since.</w:t>
      </w:r>
    </w:p>
    <w:p>
      <w:r>
        <w:rPr>
          <w:i w:val="0"/>
        </w:rPr>
        <w:t>Ellen de Mello Koch, Robert de Mello Koch and Ling Cheng then built the observable that the dispute had lacked, proposing that correlation functions between hidden and visible neurons are capable of diagnosing renormalization-group-like coarse-graining. The logic is that a coarse-graining step is defined by which microscopic operators the coarse variable retains, so the natural probe is the set of correlators linking the two layers, compared against the corresponding correlators of a single block-spin step on the Ising model. The comparison found renormalization-like patterns in the trained correlators together with important differences between the two.</w:t>
      </w:r>
    </w:p>
    <w:p>
      <w:r>
        <w:rPr>
          <w:i w:val="0"/>
        </w:rPr>
        <w:t xml:space="preserve">Extending the comparison to long-range Ising lattices, Ellen de Mello Koch, Anita de Mello Koch, Nicholas Kastanos and Ling Cheng reported two negative results in a paper titled with the diagnosis. The first is a comparison of two flows run from the same ensembles: the stacked machines carry the temperature down while the renormalization group carries it up. Since the direction the renormalization group takes is fixed once the starting ensemble is fixed, two procedures that run opposite ways from the same start cannot be the same operation, and this comparison does not depend on knowing which side of </w:t>
      </w:r>
      <m:oMath>
        <m:sSub>
          <m:e>
            <m:r>
              <m:t>T</m:t>
            </m:r>
          </m:e>
          <m:sub>
            <m:r>
              <m:t>c</m:t>
            </m:r>
          </m:sub>
        </m:sSub>
      </m:oMath>
      <w:r>
        <w:rPr>
          <w:i w:val="0"/>
        </w:rPr>
        <w:t xml:space="preserve"> the ensemble sat on. The second is a failure of a different kind. Scaling dimensions belong to the fixed point rather than to the particular transformation that reaches it, which is why they are the quantities any procedure deserving the name has to converge to; the machine flow for the long-ranged model does not converge to the correct spin and energy scaling dimensions, and a flow that misses them is not approaching a fixed point at all, whatever direction it is travelling in. Those two results and the Iso measurement are three separate comparisons, against the location of </w:t>
      </w:r>
      <m:oMath>
        <m:sSub>
          <m:e>
            <m:r>
              <m:t>T</m:t>
            </m:r>
          </m:e>
          <m:sub>
            <m:r>
              <m:t>c</m:t>
            </m:r>
          </m:sub>
        </m:sSub>
      </m:oMath>
      <w:r>
        <w:rPr>
          <w:i w:val="0"/>
        </w:rPr>
        <w:t>, against a reference renormalization flow, and against fixed-point data. The case they make is cumulative, and it is worth keeping the three apart, because only the third bears on where the machine flow ends up rather than on which way it sets off. Kelsie Taylor's line-by-line replication reached a compatible verdict, learning the flow successfully for the one-dimensional chain while finding quantitative inconsistencies when the weight layers were compared directly against spin renormalization for nearest-neighbour models.</w:t>
      </w:r>
    </w:p>
    <w:p>
      <w:r>
        <w:rPr>
          <w:i w:val="0"/>
        </w:rPr>
        <w:t>The sharpest statement came from inside the constructive alternative. Maciej Koch-Janusz and Zohar Ringel reported that on the dimer model the filters obtained by the mutual-information method are orthogonal to those obtained by minimizing the Kullback-Leibler divergence, and concluded that standard restricted Boltzmann machines trained that way do not generally perform renormalization. Orthogonal is the strongest available form of disagreement between two sets of filters: not a worse approximation to the same operators, but a different set of operators entirely.</w:t>
      </w:r>
    </w:p>
    <w:p>
      <w:pPr>
        <w:pStyle w:val="BookSection"/>
      </w:pPr>
      <w:r>
        <w:t>Relevance, Made Into an Objective</w:t>
      </w:r>
    </w:p>
    <w:p>
      <w:r>
        <w:rPr>
          <w:i w:val="0"/>
        </w:rPr>
        <w:t xml:space="preserve">If maximizing likelihood does not select the relevant degrees of freedom, the constructive move is to write down an objective that does. Koch-Janusz and Ringel took the coarse-grained variable </w:t>
      </w:r>
      <m:oMath>
        <m:r>
          <m:t>ℋ</m:t>
        </m:r>
      </m:oMath>
      <w:r>
        <w:rPr>
          <w:i w:val="0"/>
        </w:rPr>
        <w:t xml:space="preserve"> to be a function of the spins in a small block </w:t>
      </w:r>
      <m:oMath>
        <m:r>
          <m:t>𝒱</m:t>
        </m:r>
      </m:oMath>
      <w:r>
        <w:rPr>
          <w:i w:val="0"/>
        </w:rPr>
        <w:t>, and trained it to maximize the mutual information</w:t>
      </w:r>
    </w:p>
    <w:p>
      <w:pPr>
        <w:spacing w:before="200" w:after="200"/>
        <w:ind w:firstLine="0"/>
        <w:jc w:val="center"/>
        <w:contextualSpacing w:val="0"/>
      </w:pPr>
      <m:oMath>
        <m:r>
          <m:t>I(ℋ:ℰ)=</m:t>
        </m:r>
        <m:nary>
          <m:naryPr>
            <m:chr m:val="∑"/>
            <m:limLoc m:val="subSup"/>
            <m:grow m:val="1"/>
            <m:subHide m:val="off"/>
            <m:supHide m:val="on"/>
          </m:naryPr>
          <m:sub>
            <m:r>
              <m:t>ℋ,ℰ</m:t>
            </m:r>
          </m:sub>
          <m:sup/>
          <m:e>
            <m:r>
              <m:t>p(ℋ,ℰ)</m:t>
            </m:r>
            <m:r>
              <m:rPr>
                <m:sty m:val="p"/>
              </m:rPr>
              <m:t>log</m:t>
            </m:r>
          </m:e>
        </m:nary>
        <m:f>
          <m:fPr>
            <m:type m:val="bar"/>
          </m:fPr>
          <m:num>
            <m:r>
              <m:t>p(ℋ,ℰ)</m:t>
            </m:r>
          </m:num>
          <m:den>
            <m:r>
              <m:t>p(ℋ)p(ℰ)</m:t>
            </m:r>
          </m:den>
        </m:f>
      </m:oMath>
    </w:p>
    <w:p>
      <w:r>
        <w:rPr>
          <w:i w:val="0"/>
        </w:rPr>
        <w:t xml:space="preserve">between that variable and the environment </w:t>
      </w:r>
      <m:oMath>
        <m:r>
          <m:t>ℰ</m:t>
        </m:r>
      </m:oMath>
      <w:r>
        <w:rPr>
          <w:i w:val="0"/>
        </w:rPr>
        <w:t xml:space="preserve"> outside the block, subject to a constraint on how many bits </w:t>
      </w:r>
      <m:oMath>
        <m:r>
          <m:t>ℋ</m:t>
        </m:r>
      </m:oMath>
      <w:r>
        <w:rPr>
          <w:i w:val="0"/>
        </w:rPr>
        <w:t xml:space="preserve"> may carry. The mechanism is worth spelling out, because it is what distinguishes the method from ordinary compression. Information shared with a distant region can only be carried by whatever survives at that separation, so short-wavelength detail contributes nothing to the objective no matter how much of the block's entropy it holds. The compression constraint then forces a choice, and the choice is made in favour of long-wavelength structure. Applied to the two-dimensional Ising model the network recovers the majority rule on the block, which is the block-spin coarse-graining Kadanoff wrote down by hand. Applied to the dimer model, where the microscopic constituents are hard constraints rather than free spins, it recovers the emergent electromagnetic-like variables instead.</w:t>
      </w:r>
    </w:p>
    <w:p>
      <w:r>
        <w:rPr>
          <w:i w:val="0"/>
        </w:rPr>
        <w:t xml:space="preserve">The exponent came out of the flow rather than out of the network. Iterating the learned transformation gives a sequence of coarse ensembles at successively larger effective lattice spacings, and the exponent is read off by finite-size scaling. The scaling hypothesis says a thermodynamic quantity measured on a system of linear size </w:t>
      </w:r>
      <m:oMath>
        <m:r>
          <m:t>L</m:t>
        </m:r>
      </m:oMath>
      <w:r>
        <w:rPr>
          <w:i w:val="0"/>
        </w:rPr>
        <w:t xml:space="preserve"> at reduced temperature </w:t>
      </w:r>
      <m:oMath>
        <m:r>
          <m:t>t</m:t>
        </m:r>
      </m:oMath>
      <w:r>
        <w:rPr>
          <w:i w:val="0"/>
        </w:rPr>
        <w:t xml:space="preserve"> depends on the two only through the ratio </w:t>
      </w:r>
      <m:oMath>
        <m:f>
          <m:fPr>
            <m:type m:val="lin"/>
          </m:fPr>
          <m:num>
            <m:r>
              <m:t>L</m:t>
            </m:r>
          </m:num>
          <m:den>
            <m:r>
              <m:t>ξ</m:t>
            </m:r>
          </m:den>
        </m:f>
      </m:oMath>
      <w:r>
        <w:rPr>
          <w:i w:val="0"/>
        </w:rPr>
        <w:t xml:space="preserve"> with </w:t>
      </w:r>
      <m:oMath>
        <m:r>
          <m:t>ξ~|t</m:t>
        </m:r>
        <m:sSup>
          <m:e>
            <m:r>
              <m:t>|</m:t>
            </m:r>
          </m:e>
          <m:sup>
            <m:r>
              <m:t>−ν</m:t>
            </m:r>
          </m:sup>
        </m:sSup>
      </m:oMath>
      <w:r>
        <w:rPr>
          <w:i w:val="0"/>
        </w:rPr>
        <w:t xml:space="preserve">, so that data taken at different sizes fall onto one curve when plotted against </w:t>
      </w:r>
      <m:oMath>
        <m:sSup>
          <m:e>
            <m:r>
              <m:t>L</m:t>
            </m:r>
          </m:e>
          <m:sup>
            <m:f>
              <m:fPr>
                <m:type m:val="lin"/>
              </m:fPr>
              <m:num>
                <m:r>
                  <m:t>1</m:t>
                </m:r>
              </m:num>
              <m:den>
                <m:r>
                  <m:t>ν</m:t>
                </m:r>
              </m:den>
            </m:f>
          </m:sup>
        </m:sSup>
        <m:r>
          <m:t>t</m:t>
        </m:r>
      </m:oMath>
      <w:r>
        <w:rPr>
          <w:i w:val="0"/>
        </w:rPr>
        <w:t xml:space="preserve">. Treating </w:t>
      </w:r>
      <m:oMath>
        <m:r>
          <m:t>ν</m:t>
        </m:r>
      </m:oMath>
      <w:r>
        <w:rPr>
          <w:i w:val="0"/>
        </w:rPr>
        <w:t xml:space="preserve"> as the unknown that makes the curves coincide, and applying the procedure across the machine-learned coarse-graining steps, gives the correlation-length exponent </w:t>
      </w:r>
      <m:oMath>
        <m:r>
          <m:t>ν=1.0±0.15</m:t>
        </m:r>
      </m:oMath>
      <w:r>
        <w:rPr>
          <w:i w:val="0"/>
        </w:rPr>
        <w:t xml:space="preserve"> for the two-dimensional Ising model, against the exactly known value </w:t>
      </w:r>
      <m:oMath>
        <m:r>
          <m:t>ν=1</m:t>
        </m:r>
      </m:oMath>
      <w:r>
        <w:rPr>
          <w:i w:val="0"/>
        </w:rPr>
        <w:t>, with the critical point located to about one percent from the divergence of the flow. The agreement is agreement within the quoted uncertainty, and that uncertainty is fifteen percent, which is a loose test of an exactly known number. What the measurement establishes is not precision but sign and structure: the machine-learned transformation flows away from criticality with the right rate, which is exactly what the restricted Boltzmann machines failed to do.</w:t>
      </w:r>
    </w:p>
    <w:p>
      <w:r>
        <w:rPr>
          <w:i w:val="0"/>
        </w:rPr>
        <w:t>Amit Gordon, Aditya Banerjee, Maciej Koch-Janusz and Zohar Ringel then supplied the piece that turns the analogy into a correspondence. Relevance in the information-theoretic sense means surviving a compression bottleneck; relevance in the field-theoretic sense means having a scaling dimension small enough that the operator grows under rescaling. These are different notions that share a word, and the claim that one method implements the other is empty until they are shown to pick out the same operators. Gordon, Banerjee, Koch-Janusz and Ringel show that the degrees of freedom retained by the information bottleneck are those with the lowest scaling dimensions. That result, and not the resemblance of stacked layers to iterated coarse-graining, is what licenses calling the procedure a renormalization group.</w:t>
      </w:r>
    </w:p>
    <w:p>
      <w:r>
        <w:rPr>
          <w:i w:val="0"/>
        </w:rPr>
        <w:t>Doruk Efe Gökmen, Zohar Ringel, Sebastian D. Huber and Maciej Koch-Janusz scaled the principle into an algorithm, real-space mutual information neural estimation. Mutual information between high-dimensional variables cannot be estimated by counting, so the method replaces it with a variational lower bound written as an expectation over samples and maximized over an auxiliary network, which makes the whole objective differentiable in the parameters of the coarse-graining filter. The output is the filter itself. On an interacting model whose emergent degrees of freedom differ fundamentally from its microscopic constituents, the learned filters identify the field-theory operators; in the companion paper, ensembles of learned coarse-grainings encode the symmetries of the effective theory, from which the method constructs phase diagrams and identifies the symmetry-breaking pattern for the ferromagnetic and antiferromagnetic two-dimensional Ising models, for the interacting dimer model with its Berezinskii-Kosterlitz-Thouless transition, and for a non-equilibrium one-dimensional chipping-and-aggregation model. A different constructive route reaches a related place: Shuo-Hui Li and Lei Wang built a normalizing flow whose layer structure mirrors the hierarchical spatial structure of real-space renormalization, giving an invertible map to a latent space of effectively decoupled variables together with a variational free-energy estimate.</w:t>
      </w:r>
    </w:p>
    <w:p>
      <w:pPr>
        <w:pStyle w:val="BookSection"/>
      </w:pPr>
      <w:r>
        <w:t>Output That Is an Equation</w:t>
      </w:r>
    </w:p>
    <w:p>
      <w:r>
        <w:rPr>
          <w:i w:val="0"/>
        </w:rPr>
        <w:t xml:space="preserve">The second lineage sidesteps the interpretation problem by making the output an expression rather than a prediction. Michael Schmidt and Hod Lipson searched over expression trees with an evolutionary algorithm applied to raw motion-tracking data from oscillators and double pendulums, and the essential design decision is the fitness function. Scoring candidates by how well they reproduce measured values finds trajectories, not laws. Scoring them by partial-derivative relationships finds invariants, because a quantity </w:t>
      </w:r>
      <m:oMath>
        <m:r>
          <m:t>f(x,y)</m:t>
        </m:r>
      </m:oMath>
      <w:r>
        <w:rPr>
          <w:i w:val="0"/>
        </w:rPr>
        <w:t xml:space="preserve"> conserved along the motion satisfies </w:t>
      </w:r>
      <m:oMath>
        <m:limUpp>
          <m:e>
            <m:r>
              <m:t>f</m:t>
            </m:r>
          </m:e>
          <m:lim>
            <m:r>
              <m:t>˙</m:t>
            </m:r>
          </m:lim>
        </m:limUpp>
        <m:r>
          <m:t>=</m:t>
        </m:r>
        <m:sSub>
          <m:e>
            <m:r>
              <m:t>f</m:t>
            </m:r>
          </m:e>
          <m:sub>
            <m:r>
              <m:t>x</m:t>
            </m:r>
          </m:sub>
        </m:sSub>
        <m:limUpp>
          <m:e>
            <m:r>
              <m:t>x</m:t>
            </m:r>
          </m:e>
          <m:lim>
            <m:r>
              <m:t>˙</m:t>
            </m:r>
          </m:lim>
        </m:limUpp>
        <m:r>
          <m:t>+</m:t>
        </m:r>
        <m:sSub>
          <m:e>
            <m:r>
              <m:t>f</m:t>
            </m:r>
          </m:e>
          <m:sub>
            <m:r>
              <m:t>y</m:t>
            </m:r>
          </m:sub>
        </m:sSub>
        <m:limUpp>
          <m:e>
            <m:r>
              <m:t>y</m:t>
            </m:r>
          </m:e>
          <m:lim>
            <m:r>
              <m:t>˙</m:t>
            </m:r>
          </m:lim>
        </m:limUpp>
        <m:r>
          <m:t>=0</m:t>
        </m:r>
      </m:oMath>
      <w:r>
        <w:rPr>
          <w:i w:val="0"/>
        </w:rPr>
        <w:t>, hence</w:t>
      </w:r>
    </w:p>
    <w:p>
      <w:pPr>
        <w:spacing w:before="200" w:after="200"/>
        <w:ind w:firstLine="0"/>
        <w:jc w:val="center"/>
        <w:contextualSpacing w:val="0"/>
      </w:pPr>
      <m:oMath>
        <m:f>
          <m:fPr>
            <m:type m:val="bar"/>
          </m:fPr>
          <m:num>
            <m:r>
              <m:t>∂f/∂x</m:t>
            </m:r>
          </m:num>
          <m:den>
            <m:r>
              <m:t>∂f/∂y</m:t>
            </m:r>
          </m:den>
        </m:f>
        <m:r>
          <m:t>=−</m:t>
        </m:r>
        <m:f>
          <m:fPr>
            <m:type m:val="bar"/>
          </m:fPr>
          <m:num>
            <m:limUpp>
              <m:e>
                <m:r>
                  <m:t>y</m:t>
                </m:r>
              </m:e>
              <m:lim>
                <m:r>
                  <m:t>˙</m:t>
                </m:r>
              </m:lim>
            </m:limUpp>
          </m:num>
          <m:den>
            <m:limUpp>
              <m:e>
                <m:r>
                  <m:t>x</m:t>
                </m:r>
              </m:e>
              <m:lim>
                <m:r>
                  <m:t>˙</m:t>
                </m:r>
              </m:lim>
            </m:limUpp>
          </m:den>
        </m:f>
        <m:r>
          <m:t>,</m:t>
        </m:r>
      </m:oMath>
    </w:p>
    <w:p>
      <w:r>
        <w:rPr>
          <w:i w:val="0"/>
        </w:rPr>
        <w:t xml:space="preserve">and both sides can be evaluated from data without knowing </w:t>
      </w:r>
      <m:oMath>
        <m:r>
          <m:t>f</m:t>
        </m:r>
      </m:oMath>
      <w:r>
        <w:rPr>
          <w:i w:val="0"/>
        </w:rPr>
        <w:t xml:space="preserve"> in advance. Conserved quantities, Lagrangians and Hamiltonians came out of that criterion with no functional form supplied.</w:t>
      </w:r>
    </w:p>
    <w:p>
      <w:r>
        <w:rPr>
          <w:i w:val="0"/>
        </w:rPr>
        <w:t>The step before that one is choosing the variables. Boyuan Chen, Kuang Huang, Sunand Raghupathi, Ishaan Chandratreya, Qiang Du and Hod Lipson estimated the intrinsic dimension of a system directly from raw video of it moving, returning four for a double pendulum, which is the number of independent state variables any equation would need. Ziming Liu and Max Tegmark counted conservation laws by the same style of argument in phase space, in a method they called AI Poincaré, measuring the local intrinsic dimensionality of the manifold a trajectory explores, since each independent conserved quantity removes one dimension. The method returned the right count for five Hamiltonian systems including the Kepler problem, a magnetic mirror and the gravitational three-body problem, with no physical assumptions supplied.</w:t>
      </w:r>
    </w:p>
    <w:p>
      <w:r>
        <w:rPr>
          <w:i w:val="0"/>
        </w:rPr>
        <w:t>Search over expressions scales badly, and the response has been to build physics into the search. Silviu-Marian Udrescu and Max Tegmark, in a system they named AI Feynman, combined neural-network fitting with dimensional analysis, polynomial fits, brute-force enumeration and recursive decomposition using symmetries and separability discovered in the fitted surface, so that a hard problem is split into easier ones rather than searched directly. Each of those moves removes variables before any searching happens. Dimensional analysis rewrites the target in dimensionless groups, which reduces the number of arguments by the rank of the matrix of units. A discovered translational or scaling symmetry says the function depends on two variables only through one combination, again removing an argument. Separability, whether additive or multiplicative, splits the target into two functions of disjoint variable sets that can be searched independently, and search cost is exponential in the number of arguments, so each removal is worth more than any improvement in the search itself. The system recovered all one hundred equations in the Feynman Lectures benchmark, against seventy-one for the previous best method. With Andrew Tan, Jiahai Feng, Orisvaldo Neto and Tailin Wu, AI Feynman 2.0 handles noisy and approximate data by returning a Pareto frontier that trades accuracy against description-length complexity instead of a single answer, and exploits graph modularity to find generalized symmetries. Miles Cranmer's PySR made multi-population evolutionary search over expression trees with user-defined operators into standard equipment, returning the same accuracy-complexity frontier.</w:t>
      </w:r>
    </w:p>
    <w:p>
      <w:r>
        <w:rPr>
          <w:i w:val="0"/>
        </w:rPr>
        <w:t xml:space="preserve">The graph-network recipe is the piece that matters most for physics on many bodies. A message-passing network computes an edge function </w:t>
      </w:r>
      <m:oMath>
        <m:sSub>
          <m:e>
            <m:r>
              <m:t>ϕ</m:t>
            </m:r>
          </m:e>
          <m:sub>
            <m:r>
              <m:t>e</m:t>
            </m:r>
          </m:sub>
        </m:sSub>
        <m:r>
          <m:t>(</m:t>
        </m:r>
        <m:sSub>
          <m:e>
            <m:r>
              <m:t>𝐱</m:t>
            </m:r>
          </m:e>
          <m:sub>
            <m:r>
              <m:t>i</m:t>
            </m:r>
          </m:sub>
        </m:sSub>
        <m:r>
          <m:t>,</m:t>
        </m:r>
        <m:sSub>
          <m:e>
            <m:r>
              <m:t>𝐱</m:t>
            </m:r>
          </m:e>
          <m:sub>
            <m:r>
              <m:t>j</m:t>
            </m:r>
          </m:sub>
        </m:sSub>
        <m:r>
          <m:t>)</m:t>
        </m:r>
      </m:oMath>
      <w:r>
        <w:rPr>
          <w:i w:val="0"/>
        </w:rPr>
        <w:t xml:space="preserve"> for every pair, sums the results into each node, and updates. Nothing forces those messages to mean anything. Cranmer, Alvaro Sanchez-Gonzalez, Peter Battaglia, Rui Xu, Kyle Cranmer, David Spergel and Shirley Ho imposed a sparse, low-dimensional bottleneck on the message vector, which leaves the network no room to spread the pairwise interaction across many coordinates; the surviving components align with the components of the physical force, and symbolic regression applied to </w:t>
      </w:r>
      <m:oMath>
        <m:sSub>
          <m:e>
            <m:r>
              <m:t>ϕ</m:t>
            </m:r>
          </m:e>
          <m:sub>
            <m:r>
              <m:t>e</m:t>
            </m:r>
          </m:sub>
        </m:sSub>
      </m:oMath>
      <w:r>
        <w:rPr>
          <w:i w:val="0"/>
        </w:rPr>
        <w:t xml:space="preserve"> then returns the force law in closed form. The method recovered known laws from N-body simulations and produced a new analytic formula on a dark matter halo dataset. Pablo Lemos, Niall Jeffrey, Miles Cranmer, Shirley Ho and Peter Battaglia ran it on thirty years of observed trajectories of the Sun, planets and large moons, thirty-one bodies, assuming only translational and rotational equivariance together with Newton's second and third laws. The distilled edge function is Newton's law of universal gravitation, and the masses, which were never observed, came out with a mean percent error of about nine point one from the learned simulator and about one point six after refitting them through the discovered symbolic force law.</w:t>
      </w:r>
    </w:p>
    <w:p>
      <w:r>
        <w:rPr>
          <w:i w:val="0"/>
        </w:rPr>
        <w:t xml:space="preserve">Where the dynamics are known to be sparse in some basis, the search collapses into linear algebra. Steven L. Brunton, Joshua L. Proctor and J. Nathan Kutz assemble a library </w:t>
      </w:r>
      <m:oMath>
        <m:r>
          <m:t>Θ(X)</m:t>
        </m:r>
      </m:oMath>
      <w:r>
        <w:rPr>
          <w:i w:val="0"/>
        </w:rPr>
        <w:t xml:space="preserve"> of candidate nonlinear functions evaluated on the measured states, write </w:t>
      </w:r>
      <m:oMath>
        <m:limUpp>
          <m:e>
            <m:r>
              <m:t>X</m:t>
            </m:r>
          </m:e>
          <m:lim>
            <m:r>
              <m:t>˙</m:t>
            </m:r>
          </m:lim>
        </m:limUpp>
        <m:r>
          <m:t>=Θ(X)</m:t>
        </m:r>
        <m:r>
          <m:t>Ξ</m:t>
        </m:r>
      </m:oMath>
      <w:r>
        <w:rPr>
          <w:i w:val="0"/>
        </w:rPr>
        <w:t xml:space="preserve">, and solve for </w:t>
      </w:r>
      <m:oMath>
        <m:r>
          <m:t>Ξ</m:t>
        </m:r>
      </m:oMath>
      <w:r>
        <w:rPr>
          <w:i w:val="0"/>
        </w:rPr>
        <w:t xml:space="preserve"> under a sparsity penalty, so that the recovered model contains only the few terms the data insist on. Sparse identification of nonlinear dynamics is not a search over expressions at all; it is a regression whose answer happens to be readable.</w:t>
      </w:r>
    </w:p>
    <w:p>
      <w:r>
        <w:rPr>
          <w:i w:val="0"/>
        </w:rPr>
        <w:t>Fit alone remains a weak criterion, since a sufficiently flexible expression fits anything and a Pareto frontier only ranks how expensively. Cristina Cornelio, Sanjeeb Dash, Vernon Austel, Kenneth L. Clarkson, Nimrod Megiddo, Bachir El Khadir and Lior Horesh of IBM Research, with Tyler R. Josephson of the University of Maryland, Baltimore County, and Joao Goncalves, coupled symbolic regression to automated reasoning in a system called AI-Descartes, scoring each candidate on whether it is logically derivable from a stated set of background axioms as well as on how well it matches the data. The system rediscovered Kepler's third law of planetary motion, Einstein's relativistic time-dilation law and Langmuir's adsorption equation, and reports which axioms a given derivation consumes. That last capability is the substantive difference between a fitted curve and a derived law, because it makes the theoretical commitments of the answer explicit and checkable.</w:t>
      </w:r>
    </w:p>
    <w:p>
      <w:pPr>
        <w:pStyle w:val="BookSection"/>
      </w:pPr>
      <w:r>
        <w:t>Physics as a Constraint</w:t>
      </w:r>
    </w:p>
    <w:p>
      <w:r>
        <w:rPr>
          <w:i w:val="0"/>
        </w:rPr>
        <w:t xml:space="preserve">The contrast case runs the arrow the other way. Maziar Raissi, Paris Perdikaris and George Em Karniadakis put the residual of a governing partial differential equation into the training loss, evaluating the derivatives of the network output by automatic differentiation at collocation points, so that a network </w:t>
      </w:r>
      <m:oMath>
        <m:sSub>
          <m:e>
            <m:r>
              <m:t>u</m:t>
            </m:r>
          </m:e>
          <m:sub>
            <m:r>
              <m:t>θ</m:t>
            </m:r>
          </m:sub>
        </m:sSub>
        <m:r>
          <m:t>(x,t)</m:t>
        </m:r>
      </m:oMath>
      <w:r>
        <w:rPr>
          <w:i w:val="0"/>
        </w:rPr>
        <w:t xml:space="preserve"> is penalized by </w:t>
      </w:r>
      <m:oMath>
        <m:sSup>
          <m:e>
            <m:d>
              <m:dPr>
                <m:begChr m:val="‖"/>
                <m:sepChr m:val=""/>
                <m:endChr m:val="‖"/>
              </m:dPr>
              <m:e>
                <m:sSub>
                  <m:e>
                    <m:r>
                      <m:t>∂</m:t>
                    </m:r>
                  </m:e>
                  <m:sub>
                    <m:r>
                      <m:t>t</m:t>
                    </m:r>
                  </m:sub>
                </m:sSub>
                <m:sSub>
                  <m:e>
                    <m:r>
                      <m:t>u</m:t>
                    </m:r>
                  </m:e>
                  <m:sub>
                    <m:r>
                      <m:t>θ</m:t>
                    </m:r>
                  </m:sub>
                </m:sSub>
                <m:r>
                  <m:t>+𝒩[</m:t>
                </m:r>
                <m:sSub>
                  <m:e>
                    <m:r>
                      <m:t>u</m:t>
                    </m:r>
                  </m:e>
                  <m:sub>
                    <m:r>
                      <m:t>θ</m:t>
                    </m:r>
                  </m:sub>
                </m:sSub>
                <m:r>
                  <m:t>]</m:t>
                </m:r>
              </m:e>
            </m:d>
          </m:e>
          <m:sup>
            <m:r>
              <m:t>2</m:t>
            </m:r>
          </m:sup>
        </m:sSup>
      </m:oMath>
      <w:r>
        <w:rPr>
          <w:i w:val="0"/>
        </w:rPr>
        <w:t xml:space="preserve"> wherever it violates the equation. The scheme solves forward problems from sparse data and identifies unknown parameters in inverse problems, and the discrete-time formulation is demonstrated on the Allen-Cahn equation, the canonical model of phase separation with a non-conserved order parameter. The equation is an input. Nothing about the procedure could return a law that was not written into the loss.</w:t>
      </w:r>
    </w:p>
    <w:p>
      <w:r>
        <w:rPr>
          <w:i w:val="0"/>
        </w:rPr>
        <w:t>Even as a solver, the arrangement fails on the phase-field problems it was demonstrated on. Revanth Mattey and Susanta Ghosh documented the failure of standard training on Allen-Cahn and Cahn-Hilliard dynamics, whose stiffness and sharp moving interfaces defeat a single fit over the whole space-time domain, and replaced it with sequential training over time segments in which each segment must remain consistent with the ones already learned. Aditi S. Krishnapriyan, Amir Gholami, Shandian Zhe, Robert M. Kirby and Michael W. Mahoney identified what kind of failure it is. An expressivity failure would mean no parameter setting represents the solution. Here parameter settings that represent the solution exist and gradient descent does not reach them, because the soft residual penalty makes the optimization problem ill-conditioned. Curriculum regularization and sequence-to-sequence training, which change nothing about the network's capacity and everything about the sequence of loss surfaces it descends, cut the error by one to two orders of magnitude.</w:t>
      </w:r>
    </w:p>
    <w:p>
      <w:r>
        <w:rPr>
          <w:i w:val="0"/>
        </w:rPr>
        <w:t>Neural operators drop the residual and learn the solution map itself. Zongyi Li, Nikola Kovachki, Kamyar Azizzadenesheli, Burigede Liu, Kaushik Bhattacharya, Andrew Stuart and Anima Anandkumar built the Fourier Neural Operator, which parameterizes the integral kernel of the operator directly in Fourier space, making the learned object a map between function spaces rather than between grids, so a model trained at one discretization evaluates at another, with reported speedups of up to three orders of magnitude over conventional solvers on Navier-Stokes problems. Vivek Oommen, Khemraj Shukla, Somdatta Goswami, Rémi Dingreville and George Em Karniadakis applied the idea to two-phase microstructures under Cahn-Hilliard type dynamics, compressing the microstructure field with a convolutional autoencoder and learning the temporal evolution of spinodal decomposition in the latent space. The output is a fast field predictor, which is a legitimate and useful thing to want, and is not a law.</w:t>
      </w:r>
    </w:p>
    <w:p>
      <w:pPr>
        <w:pStyle w:val="BookSection"/>
      </w:pPr>
      <w:r>
        <w:t>What Counts as a Check</w:t>
      </w:r>
    </w:p>
    <w:p>
      <w:r>
        <w:rPr>
          <w:i w:val="0"/>
        </w:rPr>
        <w:t>The checks that worked share a structure. Each of them sets the machine's output beside an object already written in the language of the theory and asks whether the two are the same object: filters beside scaling dimensions, a learned message function beside an inverse square, hidden-to-visible correlators beside a block-spin step. Where the theory supplies no such object the verdict has stayed open, which is why the question of whether any version of the claim that deep learning performs renormalization survives is still unsettled rather than settled in the negative. Restricted Boltzmann machines have been shown to fail specific tests on specific models. A generalized renormalization-group-like scheme, which is what the 2014 preprint actually claimed, has never been given an observable of its own, and until someone writes one down there is nothing for a measurement to disagree with.</w:t>
      </w:r>
    </w:p>
    <w:p>
      <w:r>
        <w:rPr>
          <w:i w:val="0"/>
        </w:rPr>
        <w:t>The same structure is also the limitation. Every law recovered in this chapter was known before the machine was switched on, and every score was computed against the known answer, which means none of these results has yet demonstrated the capability being advertised. Cristina Cornelio and colleagues point at the way out, since derivability from axioms is a criterion that can be evaluated without knowing the conclusion in advance. It does require the axioms, and in the regimes where nobody has the law, nobody has those either.</w:t>
      </w:r>
    </w:p>
    <w:p>
      <w:pPr>
        <w:pStyle w:val="Heading1"/>
      </w:pPr>
      <w:r>
        <w:t>References</w:t>
      </w:r>
    </w:p>
    <w:p>
      <w:pPr>
        <w:spacing w:before="120" w:after="0"/>
        <w:ind w:firstLine="0"/>
      </w:pPr>
      <w:r>
        <w:rPr>
          <w:i w:val="0"/>
        </w:rPr>
        <w:t xml:space="preserve">Brunton, Proctor, Kutz (2016). Discovering governing equations from data by sparse identification of nonlinear dynamical systems. PNAS 113(15), 3932-3937. </w:t>
      </w:r>
      <w:hyperlink r:id="rId63">
        <w:r>
          <w:rPr>
            <w:rStyle w:val="Hyperlink"/>
          </w:rPr>
          <w:t xml:space="preserve">https://doi.org/10.1073/pnas.1517384113</w:t>
        </w:r>
      </w:hyperlink>
    </w:p>
    <w:p>
      <w:pPr>
        <w:spacing w:before="120" w:after="0"/>
        <w:ind w:firstLine="0"/>
      </w:pPr>
      <w:r>
        <w:rPr>
          <w:i w:val="0"/>
        </w:rPr>
        <w:t xml:space="preserve">Chen, Huang, Raghupathi, Chandratreya, Du, Lipson (2022). Nature Computational Science 2, 433-442. </w:t>
      </w:r>
      <w:hyperlink r:id="rId64">
        <w:r>
          <w:rPr>
            <w:rStyle w:val="Hyperlink"/>
          </w:rPr>
          <w:t xml:space="preserve">https://doi.org/10.1038/s43588-022-00281-6</w:t>
        </w:r>
      </w:hyperlink>
    </w:p>
    <w:p>
      <w:pPr>
        <w:spacing w:before="120" w:after="0"/>
        <w:ind w:firstLine="0"/>
      </w:pPr>
      <w:r>
        <w:rPr>
          <w:i w:val="0"/>
        </w:rPr>
        <w:t xml:space="preserve">Cornelio, Dash, Austel, Josephson, Goncalves, Clarkson, Megiddo, El Khadir, Horesh (2023). Nature Communications, vol. 14, article 1777. </w:t>
      </w:r>
      <w:hyperlink r:id="rId65">
        <w:r>
          <w:rPr>
            <w:rStyle w:val="Hyperlink"/>
          </w:rPr>
          <w:t xml:space="preserve">https://doi.org/10.1038/s41467-023-37236-y</w:t>
        </w:r>
      </w:hyperlink>
    </w:p>
    <w:p>
      <w:pPr>
        <w:spacing w:before="120" w:after="0"/>
        <w:ind w:firstLine="0"/>
      </w:pPr>
      <w:r>
        <w:rPr>
          <w:i w:val="0"/>
        </w:rPr>
        <w:t xml:space="preserve">Cranmer (2023). arXiv:2305.01582 [astro-ph.IM]. </w:t>
      </w:r>
      <w:hyperlink r:id="rId66">
        <w:r>
          <w:rPr>
            <w:rStyle w:val="Hyperlink"/>
          </w:rPr>
          <w:t xml:space="preserve">https://arxiv.org/abs/2305.01582</w:t>
        </w:r>
      </w:hyperlink>
    </w:p>
    <w:p>
      <w:pPr>
        <w:spacing w:before="120" w:after="0"/>
        <w:ind w:firstLine="0"/>
      </w:pPr>
      <w:r>
        <w:rPr>
          <w:i w:val="0"/>
        </w:rPr>
        <w:t xml:space="preserve">Cranmer, Sanchez-Gonzalez, Battaglia, Xu, Cranmer, Spergel, Ho (2020). NeurIPS 33; arXiv:2006.11287. </w:t>
      </w:r>
      <w:hyperlink r:id="rId67">
        <w:r>
          <w:rPr>
            <w:rStyle w:val="Hyperlink"/>
          </w:rPr>
          <w:t xml:space="preserve">https://arxiv.org/abs/2006.11287</w:t>
        </w:r>
      </w:hyperlink>
    </w:p>
    <w:p>
      <w:pPr>
        <w:spacing w:before="120" w:after="0"/>
        <w:ind w:firstLine="0"/>
      </w:pPr>
      <w:r>
        <w:rPr>
          <w:i w:val="0"/>
        </w:rPr>
        <w:t xml:space="preserve">E. de Mello Koch, A. de Mello Koch, Kastanos, Cheng (2020). Short-sighted deep learning. Physical Review E 102, 013307. </w:t>
      </w:r>
      <w:hyperlink r:id="rId68">
        <w:r>
          <w:rPr>
            <w:rStyle w:val="Hyperlink"/>
          </w:rPr>
          <w:t xml:space="preserve">https://doi.org/10.1103/PhysRevE.102.013307</w:t>
        </w:r>
      </w:hyperlink>
    </w:p>
    <w:p>
      <w:pPr>
        <w:spacing w:before="120" w:after="0"/>
        <w:ind w:firstLine="0"/>
      </w:pPr>
      <w:r>
        <w:rPr>
          <w:i w:val="0"/>
        </w:rPr>
        <w:t xml:space="preserve">E. de Mello Koch, R. de Mello Koch, Cheng (2020). IEEE Access, vol. 8. </w:t>
      </w:r>
      <w:hyperlink r:id="rId69">
        <w:r>
          <w:rPr>
            <w:rStyle w:val="Hyperlink"/>
          </w:rPr>
          <w:t xml:space="preserve">https://doi.org/10.1109/ACCESS.2020.3000901</w:t>
        </w:r>
      </w:hyperlink>
    </w:p>
    <w:p>
      <w:pPr>
        <w:spacing w:before="120" w:after="0"/>
        <w:ind w:firstLine="0"/>
      </w:pPr>
      <w:r>
        <w:rPr>
          <w:i w:val="0"/>
        </w:rPr>
        <w:t xml:space="preserve">Fisher (1998). Reviews of Modern Physics 70(2), 653-681. </w:t>
      </w:r>
      <w:hyperlink r:id="rId70">
        <w:r>
          <w:rPr>
            <w:rStyle w:val="Hyperlink"/>
          </w:rPr>
          <w:t xml:space="preserve">https://doi.org/10.1103/RevModPhys.70.653</w:t>
        </w:r>
      </w:hyperlink>
    </w:p>
    <w:p>
      <w:pPr>
        <w:spacing w:before="120" w:after="0"/>
        <w:ind w:firstLine="0"/>
      </w:pPr>
      <w:r>
        <w:rPr>
          <w:i w:val="0"/>
        </w:rPr>
        <w:t xml:space="preserve">Gordon, Banerjee, Koch-Janusz, Ringel (2021). Physical Review Letters 126, 240601. </w:t>
      </w:r>
      <w:hyperlink r:id="rId71">
        <w:r>
          <w:rPr>
            <w:rStyle w:val="Hyperlink"/>
          </w:rPr>
          <w:t xml:space="preserve">https://doi.org/10.1103/PhysRevLett.126.240601</w:t>
        </w:r>
      </w:hyperlink>
    </w:p>
    <w:p>
      <w:pPr>
        <w:spacing w:before="120" w:after="0"/>
        <w:ind w:firstLine="0"/>
      </w:pPr>
      <w:r>
        <w:rPr>
          <w:i w:val="0"/>
        </w:rPr>
        <w:t xml:space="preserve">Gökmen, Ringel, Huber, Koch-Janusz (2021). Physical Review Letters 127, 240603. </w:t>
      </w:r>
      <w:hyperlink r:id="rId72">
        <w:r>
          <w:rPr>
            <w:rStyle w:val="Hyperlink"/>
          </w:rPr>
          <w:t xml:space="preserve">https://doi.org/10.1103/PhysRevLett.127.240603</w:t>
        </w:r>
      </w:hyperlink>
    </w:p>
    <w:p>
      <w:pPr>
        <w:spacing w:before="120" w:after="0"/>
        <w:ind w:firstLine="0"/>
      </w:pPr>
      <w:r>
        <w:rPr>
          <w:i w:val="0"/>
        </w:rPr>
        <w:t xml:space="preserve">Gökmen, Ringel, Huber, Koch-Janusz (2021). Symmetries and phase diagrams with real-space mutual information neural estimation. Physical Review E 104, 064106. </w:t>
      </w:r>
      <w:hyperlink r:id="rId73">
        <w:r>
          <w:rPr>
            <w:rStyle w:val="Hyperlink"/>
          </w:rPr>
          <w:t xml:space="preserve">https://doi.org/10.1103/PhysRevE.104.064106</w:t>
        </w:r>
      </w:hyperlink>
    </w:p>
    <w:p>
      <w:pPr>
        <w:spacing w:before="120" w:after="0"/>
        <w:ind w:firstLine="0"/>
      </w:pPr>
      <w:r>
        <w:rPr>
          <w:i w:val="0"/>
        </w:rPr>
        <w:t xml:space="preserve">Iso, Shiba, Yokoo (2018). Physical Review E 97, 053304. </w:t>
      </w:r>
      <w:hyperlink r:id="rId74">
        <w:r>
          <w:rPr>
            <w:rStyle w:val="Hyperlink"/>
          </w:rPr>
          <w:t xml:space="preserve">https://doi.org/10.1103/PhysRevE.97.053304</w:t>
        </w:r>
      </w:hyperlink>
    </w:p>
    <w:p>
      <w:pPr>
        <w:spacing w:before="120" w:after="0"/>
        <w:ind w:firstLine="0"/>
      </w:pPr>
      <w:r>
        <w:rPr>
          <w:i w:val="0"/>
        </w:rPr>
        <w:t xml:space="preserve">Koch-Janusz, Ringel (2018). Nature Physics 14, 578-582. </w:t>
      </w:r>
      <w:hyperlink r:id="rId75">
        <w:r>
          <w:rPr>
            <w:rStyle w:val="Hyperlink"/>
          </w:rPr>
          <w:t xml:space="preserve">https://doi.org/10.1038/s41567-018-0081-4</w:t>
        </w:r>
      </w:hyperlink>
    </w:p>
    <w:p>
      <w:pPr>
        <w:spacing w:before="120" w:after="0"/>
        <w:ind w:firstLine="0"/>
      </w:pPr>
      <w:r>
        <w:rPr>
          <w:i w:val="0"/>
        </w:rPr>
        <w:t xml:space="preserve">Krishnapriyan, Gholami, Zhe, Kirby, Mahoney (2021). NeurIPS 34; arXiv:2109.01050. </w:t>
      </w:r>
      <w:hyperlink r:id="rId76">
        <w:r>
          <w:rPr>
            <w:rStyle w:val="Hyperlink"/>
          </w:rPr>
          <w:t xml:space="preserve">https://arxiv.org/abs/2109.01050</w:t>
        </w:r>
      </w:hyperlink>
    </w:p>
    <w:p>
      <w:pPr>
        <w:spacing w:before="120" w:after="0"/>
        <w:ind w:firstLine="0"/>
      </w:pPr>
      <w:r>
        <w:rPr>
          <w:i w:val="0"/>
        </w:rPr>
        <w:t xml:space="preserve">Lemos, Jeffrey, Cranmer, Ho, Battaglia (2023). Machine Learning: Science and Technology 4, 045002. </w:t>
      </w:r>
      <w:hyperlink r:id="rId77">
        <w:r>
          <w:rPr>
            <w:rStyle w:val="Hyperlink"/>
          </w:rPr>
          <w:t xml:space="preserve">https://doi.org/10.1088/2632-2153/acfa63</w:t>
        </w:r>
      </w:hyperlink>
    </w:p>
    <w:p>
      <w:pPr>
        <w:spacing w:before="120" w:after="0"/>
        <w:ind w:firstLine="0"/>
      </w:pPr>
      <w:r>
        <w:rPr>
          <w:i w:val="0"/>
        </w:rPr>
        <w:t xml:space="preserve">Li, Kovachki, Azizzadenesheli, Liu, Bhattacharya, Stuart, Anandkumar (2021). ICLR 2021; arXiv:2010.08895. </w:t>
      </w:r>
      <w:hyperlink r:id="rId78">
        <w:r>
          <w:rPr>
            <w:rStyle w:val="Hyperlink"/>
          </w:rPr>
          <w:t xml:space="preserve">https://arxiv.org/abs/2010.08895</w:t>
        </w:r>
      </w:hyperlink>
    </w:p>
    <w:p>
      <w:pPr>
        <w:spacing w:before="120" w:after="0"/>
        <w:ind w:firstLine="0"/>
      </w:pPr>
      <w:r>
        <w:rPr>
          <w:i w:val="0"/>
        </w:rPr>
        <w:t xml:space="preserve">Li, Wang (2018). Physical Review Letters 121, 260601. </w:t>
      </w:r>
      <w:hyperlink r:id="rId79">
        <w:r>
          <w:rPr>
            <w:rStyle w:val="Hyperlink"/>
          </w:rPr>
          <w:t xml:space="preserve">https://doi.org/10.1103/PhysRevLett.121.260601</w:t>
        </w:r>
      </w:hyperlink>
    </w:p>
    <w:p>
      <w:pPr>
        <w:spacing w:before="120" w:after="0"/>
        <w:ind w:firstLine="0"/>
      </w:pPr>
      <w:r>
        <w:rPr>
          <w:i w:val="0"/>
        </w:rPr>
        <w:t xml:space="preserve">Lin, Tegmark (2016). Why does deep and cheap learning work so well? arXiv:1608.08225v1. </w:t>
      </w:r>
      <w:hyperlink r:id="rId80">
        <w:r>
          <w:rPr>
            <w:rStyle w:val="Hyperlink"/>
          </w:rPr>
          <w:t xml:space="preserve">https://arxiv.org/abs/1608.08225v1</w:t>
        </w:r>
      </w:hyperlink>
    </w:p>
    <w:p>
      <w:pPr>
        <w:spacing w:before="120" w:after="0"/>
        <w:ind w:firstLine="0"/>
      </w:pPr>
      <w:r>
        <w:rPr>
          <w:i w:val="0"/>
        </w:rPr>
        <w:t xml:space="preserve">Lin, Tegmark, Rolnick (2017). Why Does Deep and Cheap Learning Work So Well? Journal of Statistical Physics 168(6), 1223-1247. </w:t>
      </w:r>
      <w:hyperlink r:id="rId81">
        <w:r>
          <w:rPr>
            <w:rStyle w:val="Hyperlink"/>
          </w:rPr>
          <w:t xml:space="preserve">https://doi.org/10.1007/s10955-017-1836-5</w:t>
        </w:r>
      </w:hyperlink>
    </w:p>
    <w:p>
      <w:pPr>
        <w:spacing w:before="120" w:after="0"/>
        <w:ind w:firstLine="0"/>
      </w:pPr>
      <w:r>
        <w:rPr>
          <w:i w:val="0"/>
        </w:rPr>
        <w:t xml:space="preserve">Liu, Tegmark (2021). Machine Learning Conservation Laws from Trajectories. Physical Review Letters 126, 180604. </w:t>
      </w:r>
      <w:hyperlink r:id="rId82">
        <w:r>
          <w:rPr>
            <w:rStyle w:val="Hyperlink"/>
          </w:rPr>
          <w:t xml:space="preserve">https://doi.org/10.1103/PhysRevLett.126.180604</w:t>
        </w:r>
      </w:hyperlink>
    </w:p>
    <w:p>
      <w:pPr>
        <w:spacing w:before="120" w:after="0"/>
        <w:ind w:firstLine="0"/>
      </w:pPr>
      <w:r>
        <w:rPr>
          <w:i w:val="0"/>
        </w:rPr>
        <w:t xml:space="preserve">Mattey, Ghosh (2022). Computer Methods in Applied Mechanics and Engineering 390, 114474. </w:t>
      </w:r>
      <w:hyperlink r:id="rId83">
        <w:r>
          <w:rPr>
            <w:rStyle w:val="Hyperlink"/>
          </w:rPr>
          <w:t xml:space="preserve">https://doi.org/10.1016/j.cma.2021.114474</w:t>
        </w:r>
      </w:hyperlink>
    </w:p>
    <w:p>
      <w:pPr>
        <w:spacing w:before="120" w:after="0"/>
        <w:ind w:firstLine="0"/>
      </w:pPr>
      <w:r>
        <w:rPr>
          <w:i w:val="0"/>
        </w:rPr>
        <w:t xml:space="preserve">Mehta, Bukov, Wang, Day, Richardson, Fisher, Schwab (2019). A high-bias, low-variance introduction to Machine Learning for physicists. Physics Reports 810, 1-124. </w:t>
      </w:r>
      <w:hyperlink r:id="rId84">
        <w:r>
          <w:rPr>
            <w:rStyle w:val="Hyperlink"/>
          </w:rPr>
          <w:t xml:space="preserve">https://doi.org/10.1016/j.physrep.2019.03.001</w:t>
        </w:r>
      </w:hyperlink>
    </w:p>
    <w:p>
      <w:pPr>
        <w:spacing w:before="120" w:after="0"/>
        <w:ind w:firstLine="0"/>
      </w:pPr>
      <w:r>
        <w:rPr>
          <w:i w:val="0"/>
        </w:rPr>
        <w:t xml:space="preserve">Mehta, Schwab (2014). arXiv:1410.3831 [stat.ML]. </w:t>
      </w:r>
      <w:hyperlink r:id="rId85">
        <w:r>
          <w:rPr>
            <w:rStyle w:val="Hyperlink"/>
          </w:rPr>
          <w:t xml:space="preserve">https://arxiv.org/abs/1410.3831</w:t>
        </w:r>
      </w:hyperlink>
    </w:p>
    <w:p>
      <w:pPr>
        <w:spacing w:before="120" w:after="0"/>
        <w:ind w:firstLine="0"/>
      </w:pPr>
      <w:r>
        <w:rPr>
          <w:i w:val="0"/>
        </w:rPr>
        <w:t xml:space="preserve">Oommen, Shukla, Goswami, Dingreville, Karniadakis (2022). npj Computational Materials 8, 190. </w:t>
      </w:r>
      <w:hyperlink r:id="rId86">
        <w:r>
          <w:rPr>
            <w:rStyle w:val="Hyperlink"/>
          </w:rPr>
          <w:t xml:space="preserve">https://doi.org/10.1038/s41524-022-00876-7</w:t>
        </w:r>
      </w:hyperlink>
    </w:p>
    <w:p>
      <w:pPr>
        <w:spacing w:before="120" w:after="0"/>
        <w:ind w:firstLine="0"/>
      </w:pPr>
      <w:r>
        <w:rPr>
          <w:i w:val="0"/>
        </w:rPr>
        <w:t xml:space="preserve">Raissi, Perdikaris, Karniadakis (2019). Journal of Computational Physics 378, 686-707. </w:t>
      </w:r>
      <w:hyperlink r:id="rId87">
        <w:r>
          <w:rPr>
            <w:rStyle w:val="Hyperlink"/>
          </w:rPr>
          <w:t xml:space="preserve">https://doi.org/10.1016/j.jcp.2018.10.045</w:t>
        </w:r>
      </w:hyperlink>
    </w:p>
    <w:p>
      <w:pPr>
        <w:spacing w:before="120" w:after="0"/>
        <w:ind w:firstLine="0"/>
      </w:pPr>
      <w:r>
        <w:rPr>
          <w:i w:val="0"/>
        </w:rPr>
        <w:t xml:space="preserve">Schmidt, Lipson (2009). Science, vol. 324, no. 5923, pp. 81-85. </w:t>
      </w:r>
      <w:hyperlink r:id="rId88">
        <w:r>
          <w:rPr>
            <w:rStyle w:val="Hyperlink"/>
          </w:rPr>
          <w:t xml:space="preserve">https://doi.org/10.1126/science.1165893</w:t>
        </w:r>
      </w:hyperlink>
    </w:p>
    <w:p>
      <w:pPr>
        <w:spacing w:before="120" w:after="0"/>
        <w:ind w:firstLine="0"/>
      </w:pPr>
      <w:r>
        <w:rPr>
          <w:i w:val="0"/>
        </w:rPr>
        <w:t xml:space="preserve">Schwab, Mehta (2016). arXiv:1609.03541. </w:t>
      </w:r>
      <w:hyperlink r:id="rId89">
        <w:r>
          <w:rPr>
            <w:rStyle w:val="Hyperlink"/>
          </w:rPr>
          <w:t xml:space="preserve">https://arxiv.org/abs/1609.03541</w:t>
        </w:r>
      </w:hyperlink>
    </w:p>
    <w:p>
      <w:pPr>
        <w:spacing w:before="120" w:after="0"/>
        <w:ind w:firstLine="0"/>
      </w:pPr>
      <w:r>
        <w:rPr>
          <w:i w:val="0"/>
        </w:rPr>
        <w:t xml:space="preserve">Taylor (2023). A Deep Dive into the Connections Between the Renormalization Group and Deep Learning in the Ising Model. Caltech senior thesis, arXiv:2308.11075. </w:t>
      </w:r>
      <w:hyperlink r:id="rId90">
        <w:r>
          <w:rPr>
            <w:rStyle w:val="Hyperlink"/>
          </w:rPr>
          <w:t xml:space="preserve">https://arxiv.org/abs/2308.11075</w:t>
        </w:r>
      </w:hyperlink>
    </w:p>
    <w:p>
      <w:pPr>
        <w:spacing w:before="120" w:after="0"/>
        <w:ind w:firstLine="0"/>
      </w:pPr>
      <w:r>
        <w:rPr>
          <w:i w:val="0"/>
        </w:rPr>
        <w:t xml:space="preserve">Udrescu, Tan, Feng, Neto, Wu, Tegmark (2020). NeurIPS 33; arXiv:2006.10782. </w:t>
      </w:r>
      <w:hyperlink r:id="rId91">
        <w:r>
          <w:rPr>
            <w:rStyle w:val="Hyperlink"/>
          </w:rPr>
          <w:t xml:space="preserve">https://arxiv.org/abs/2006.10782</w:t>
        </w:r>
      </w:hyperlink>
    </w:p>
    <w:p>
      <w:pPr>
        <w:spacing w:before="120" w:after="0"/>
        <w:ind w:firstLine="0"/>
      </w:pPr>
      <w:r>
        <w:rPr>
          <w:i w:val="0"/>
        </w:rPr>
        <w:t xml:space="preserve">Udrescu, Tegmark (2020). Science Advances, vol. 6, no. 16, article eaay2631. </w:t>
      </w:r>
      <w:hyperlink r:id="rId92">
        <w:r>
          <w:rPr>
            <w:rStyle w:val="Hyperlink"/>
          </w:rPr>
          <w:t xml:space="preserve">https://doi.org/10.1126/sciadv.aay2631</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073/pnas.1517384113" TargetMode="External"/><Relationship Id="rId64" Type="http://schemas.openxmlformats.org/officeDocument/2006/relationships/hyperlink" Target="https://doi.org/10.1038/s43588-022-00281-6" TargetMode="External"/><Relationship Id="rId65" Type="http://schemas.openxmlformats.org/officeDocument/2006/relationships/hyperlink" Target="https://doi.org/10.1038/s41467-023-37236-y" TargetMode="External"/><Relationship Id="rId66" Type="http://schemas.openxmlformats.org/officeDocument/2006/relationships/hyperlink" Target="https://arxiv.org/abs/2305.01582" TargetMode="External"/><Relationship Id="rId67" Type="http://schemas.openxmlformats.org/officeDocument/2006/relationships/hyperlink" Target="https://arxiv.org/abs/2006.11287" TargetMode="External"/><Relationship Id="rId68" Type="http://schemas.openxmlformats.org/officeDocument/2006/relationships/hyperlink" Target="https://doi.org/10.1103/PhysRevE.102.013307" TargetMode="External"/><Relationship Id="rId69" Type="http://schemas.openxmlformats.org/officeDocument/2006/relationships/hyperlink" Target="https://doi.org/10.1109/ACCESS.2020.3000901" TargetMode="External"/><Relationship Id="rId70" Type="http://schemas.openxmlformats.org/officeDocument/2006/relationships/hyperlink" Target="https://doi.org/10.1103/RevModPhys.70.653" TargetMode="External"/><Relationship Id="rId71" Type="http://schemas.openxmlformats.org/officeDocument/2006/relationships/hyperlink" Target="https://doi.org/10.1103/PhysRevLett.126.240601" TargetMode="External"/><Relationship Id="rId72" Type="http://schemas.openxmlformats.org/officeDocument/2006/relationships/hyperlink" Target="https://doi.org/10.1103/PhysRevLett.127.240603" TargetMode="External"/><Relationship Id="rId73" Type="http://schemas.openxmlformats.org/officeDocument/2006/relationships/hyperlink" Target="https://doi.org/10.1103/PhysRevE.104.064106" TargetMode="External"/><Relationship Id="rId74" Type="http://schemas.openxmlformats.org/officeDocument/2006/relationships/hyperlink" Target="https://doi.org/10.1103/PhysRevE.97.053304" TargetMode="External"/><Relationship Id="rId75" Type="http://schemas.openxmlformats.org/officeDocument/2006/relationships/hyperlink" Target="https://doi.org/10.1038/s41567-018-0081-4" TargetMode="External"/><Relationship Id="rId76" Type="http://schemas.openxmlformats.org/officeDocument/2006/relationships/hyperlink" Target="https://arxiv.org/abs/2109.01050" TargetMode="External"/><Relationship Id="rId77" Type="http://schemas.openxmlformats.org/officeDocument/2006/relationships/hyperlink" Target="https://doi.org/10.1088/2632-2153/acfa63" TargetMode="External"/><Relationship Id="rId78" Type="http://schemas.openxmlformats.org/officeDocument/2006/relationships/hyperlink" Target="https://arxiv.org/abs/2010.08895" TargetMode="External"/><Relationship Id="rId79" Type="http://schemas.openxmlformats.org/officeDocument/2006/relationships/hyperlink" Target="https://doi.org/10.1103/PhysRevLett.121.260601" TargetMode="External"/><Relationship Id="rId80" Type="http://schemas.openxmlformats.org/officeDocument/2006/relationships/hyperlink" Target="https://arxiv.org/abs/1608.08225v1" TargetMode="External"/><Relationship Id="rId81" Type="http://schemas.openxmlformats.org/officeDocument/2006/relationships/hyperlink" Target="https://doi.org/10.1007/s10955-017-1836-5" TargetMode="External"/><Relationship Id="rId82" Type="http://schemas.openxmlformats.org/officeDocument/2006/relationships/hyperlink" Target="https://doi.org/10.1103/PhysRevLett.126.180604" TargetMode="External"/><Relationship Id="rId83" Type="http://schemas.openxmlformats.org/officeDocument/2006/relationships/hyperlink" Target="https://doi.org/10.1016/j.cma.2021.114474" TargetMode="External"/><Relationship Id="rId84" Type="http://schemas.openxmlformats.org/officeDocument/2006/relationships/hyperlink" Target="https://doi.org/10.1016/j.physrep.2019.03.001" TargetMode="External"/><Relationship Id="rId85" Type="http://schemas.openxmlformats.org/officeDocument/2006/relationships/hyperlink" Target="https://arxiv.org/abs/1410.3831" TargetMode="External"/><Relationship Id="rId86" Type="http://schemas.openxmlformats.org/officeDocument/2006/relationships/hyperlink" Target="https://doi.org/10.1038/s41524-022-00876-7" TargetMode="External"/><Relationship Id="rId87" Type="http://schemas.openxmlformats.org/officeDocument/2006/relationships/hyperlink" Target="https://doi.org/10.1016/j.jcp.2018.10.045" TargetMode="External"/><Relationship Id="rId88" Type="http://schemas.openxmlformats.org/officeDocument/2006/relationships/hyperlink" Target="https://doi.org/10.1126/science.1165893" TargetMode="External"/><Relationship Id="rId89" Type="http://schemas.openxmlformats.org/officeDocument/2006/relationships/hyperlink" Target="https://arxiv.org/abs/1609.03541" TargetMode="External"/><Relationship Id="rId90" Type="http://schemas.openxmlformats.org/officeDocument/2006/relationships/hyperlink" Target="https://arxiv.org/abs/2308.11075" TargetMode="External"/><Relationship Id="rId91" Type="http://schemas.openxmlformats.org/officeDocument/2006/relationships/hyperlink" Target="https://arxiv.org/abs/2006.10782" TargetMode="External"/><Relationship Id="rId92" Type="http://schemas.openxmlformats.org/officeDocument/2006/relationships/hyperlink" Target="https://doi.org/10.1126/sciadv.aay26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