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Chapter 14</w:t>
      </w:r>
    </w:p>
    <w:p>
      <w:pPr>
        <w:pStyle w:val="Heading1"/>
      </w:pPr>
      <w:r>
        <w:t>Instruments That Decide Where to Look</w:t>
      </w:r>
    </w:p>
    <w:p>
      <w:pPr>
        <w:pStyle w:val="BookSection"/>
      </w:pPr>
      <w:r>
        <w:t>Reading the pattern, not the peaks</w:t>
      </w:r>
    </w:p>
    <w:p>
      <w:r>
        <w:rPr>
          <w:i w:val="0"/>
        </w:rPr>
        <w:t xml:space="preserve">A powder X-ray diffraction pattern is intensity as a function of scattering angle, and for a century the route from that curve to a phase assignment ran through the peaks. Bragg's law, </w:t>
      </w:r>
      <m:oMath>
        <m:r>
          <m:t>nλ=2d</m:t>
        </m:r>
        <m:r>
          <m:rPr>
            <m:sty m:val="p"/>
          </m:rPr>
          <m:t>sin</m:t>
        </m:r>
        <m:r>
          <m:t>θ</m:t>
        </m:r>
      </m:oMath>
      <w:r>
        <w:rPr>
          <w:i w:val="0"/>
        </w:rPr>
        <w:t>, turns an angle into a lattice spacing; the set of spacings constrains the unit cell; systematic absences in the list of allowed reflections constrain the space group; Rietveld refinement then fits a full calculated profile to the measured one. Every step in that chain begins by locating peaks, which is precisely the operation that degrades when reflections overlap, when a thin film is textured, or when two phases coexist in one specimen.</w:t>
      </w:r>
    </w:p>
    <w:p>
      <w:r>
        <w:rPr>
          <w:i w:val="0"/>
        </w:rPr>
        <w:t>In 2017 Woon Bae Park and colleagues, at Sejong University and Sunchon National University, discarded the chain and treated the curve itself as the input. Roughly 150,000 patterns were simulated from structures of known symmetry, and a convolutional neural network was trained to map the raw intensity profile directly onto a symmetry label. The convolutional structure matters here for a specific reason: a filter sliding along the angular axis responds to local shape, so the network can learn the joint signature of peak width, relative height and characteristic spacing ratios without anyone first deciding which excursions above background count as peaks. The reported accuracies were 94.99 percent for crystal system, 83.83 percent for extinction group and 81.14 percent for space group. That ordering is informative rather than incidental. Crystal system is written into the coarse geometry of the whole pattern, while the other two labels turn on absences, on peaks that are not there, and an absence is a weaker feature than a presence. Between those two, extinction group is the coarser partition, since many space groups share one set of systematic absences, so the middle number reports a decision drawn on the same weak evidence with fewer distinctions to make.</w:t>
      </w:r>
    </w:p>
    <w:p>
      <w:r>
        <w:rPr>
          <w:i w:val="0"/>
        </w:rPr>
        <w:t>The obvious objection is that a network trained on simulated patterns has learned the statistics of a simulator. Felipe Oviedo and colleagues at the Massachusetts Institute of Technology, working with the National Institute of Standards and Technology and the Singapore-MIT Alliance for Research and Technology, addressed it by making the simulator lie in physically licensed ways. Patterns computed from Inorganic Crystal Structure Database entries were perturbed by the distortions that real thin films actually impose, and an all-convolutional network was trained on the augmented set. The logic of augmentation is worth stating plainly, because it is easy to mistake for a trick to enlarge a dataset. Each perturbation defines an equivalence: two patterns related by that distortion carry the same label. Training across the orbit of each pattern under the allowed distortions forces the network to build an internal representation on which those distortions act trivially. Applied to 115 experimentally synthesized thin-film metal-halide samples spanning three crystallographic dimensionalities and seven space groups, the classifier reached cross-validated accuracies of 93 percent for dimensionality and 89 percent for space group, with experimental training data scarce throughout.</w:t>
      </w:r>
    </w:p>
    <w:p>
      <w:r>
        <w:rPr>
          <w:i w:val="0"/>
        </w:rPr>
        <w:t>Coexistence is a harder problem than distortion, because the measured pattern is then a sum and no single label is correct. Nathan J. Szymanski and colleagues, at the University of California, Berkeley and Lawrence Berkeley National Laboratory, made the probabilistic output of an ensemble of convolutional networks do combinatorial work. An ensemble trained on physics-augmented simulated spectra returns a distribution over candidate phases rather than a single answer. A branching algorithm takes the most probable candidate, subtracts its expected contribution from the measured spectrum, and re-submits the residual to the same ensemble, branching over the alternatives that the ensemble also rated plausible and scoring whole identification trees rather than single guesses. The output is the set of phases present in a mixture. That set, not any individual label, is the quantity that had been blocking fully autonomous inorganic synthesis, because a synthesis loop needs to know what it made, including the parts it did not intend.</w:t>
      </w:r>
    </w:p>
    <w:p>
      <w:pPr>
        <w:pStyle w:val="BookSection"/>
      </w:pPr>
      <w:r>
        <w:t>Uncertainty as an interface</w:t>
      </w:r>
    </w:p>
    <w:p>
      <w:r>
        <w:rPr>
          <w:i w:val="0"/>
        </w:rPr>
        <w:t>A softmax output is a vector on the simplex, and calling its entries probabilities does not make them calibrated. A network trained only on clean simulated data will assign high confidence to a pattern from a phase it has never seen, since nothing in its training ever required the alternative. Phillip M. Maffettone and colleagues, working across the National Synchrotron Light Source II at Brookhaven National Laboratory, the University of Liverpool and Ruhr University Bochum, built the crystallography companion agent around this point. The agent is trained on a physically accurate synthetic dataset and returns probabilistic rather than absolute classifications, deliberately declining the overconfidence of a conventional classifier, so that it functions as a real-time assistant to a beamline scientist instead of an oracle whose failures are invisible.</w:t>
      </w:r>
    </w:p>
    <w:p>
      <w:r>
        <w:rPr>
          <w:i w:val="0"/>
        </w:rPr>
        <w:t>Lars Banko and colleagues at Ruhr University Bochum and Brookhaven National Laboratory then used representation learning on large combinatorial diffraction libraries for a related purpose. A deep representation maps each pattern to a low-dimensional vector; composition-structure space becomes something a person can look at, and, more usefully, distance in that space becomes a test. A pattern that lands far from every cluster corresponding to a known phase is flagged as novel. Novelty detection of this kind is not a phase identification. It is a statement that the measured pattern is not accounted for by the label set, which is the practical signature of an undiscovered phase region and therefore a pointer at where the next measurement should go. Once a classifier can say where its own labels run out, the question stops being what a sample is and becomes which sample to look at next.</w:t>
      </w:r>
    </w:p>
    <w:p>
      <w:pPr>
        <w:pStyle w:val="BookSection"/>
      </w:pPr>
      <w:r>
        <w:t>From a label to a loop</w:t>
      </w:r>
    </w:p>
    <w:p>
      <w:r>
        <w:rPr>
          <w:i w:val="0"/>
        </w:rPr>
        <w:t>Eric Stach and colleagues, writing as a twenty-one-author group drawn from academia, industry, national laboratories and funding agencies, set out the shared architecture that answering that question requires: a synthesis robot, an automated characterization stage, and a decision-making agent that reads the characterization and issues the next instruction. The perspective also names what keeps the three from being assembled freely, which is not any missing component but interoperability and data standards. Each piece exists somewhere; the formats in which they speak do not match.</w:t>
      </w:r>
    </w:p>
    <w:p>
      <w:r>
        <w:rPr>
          <w:i w:val="0"/>
        </w:rPr>
        <w:t>The A-Lab, reported in 2023 by Nathan J. Szymanski and colleagues at Lawrence Berkeley National Laboratory, the University of California, Berkeley and Google DeepMind, assembled the three for solid-state synthesis. Robotics handled powder dosing, heating and measurement; ab initio phase-stability data from the Materials Project supplied the targets; machine-learned interpretation of X-ray diffraction supplied the verdict on each attempt. The authors report 41 successful syntheses from 58 targets over 17 days of continuous operation, with automated diffraction analysis as the feedback signal that let active learning revise failed recipes. The novelty of those products was subsequently disputed. A 2024 analysis by Leeman, Liu, Stiles, Lee, Bhatt, Schoop and Palgrave argued that roughly two-thirds of the claimed successes are likely known compounds, specifically compositionally disordered variants of the predicted ordered structures, which is exactly the failure mode an automated pattern classifier is most exposed to, since site disorder and an ordered parent can produce closely similar diffraction.</w:t>
      </w:r>
    </w:p>
    <w:p>
      <w:r>
        <w:rPr>
          <w:i w:val="0"/>
        </w:rPr>
        <w:t xml:space="preserve">The decision-making agent in that architecture has a longer history than the A-Lab, and a more revealing one. Four years earlier, Marcus M. Noack and colleagues at Lawrence Berkeley National Laboratory and Brookhaven National Laboratory replaced the pre-programmed raster scan of a synchrotron X-ray scattering experiment with a Gaussian process surrogate, known in geostatistics as kriging after Danie Krige, choosing each next measurement point. Given measurements </w:t>
      </w:r>
      <m:oMath>
        <m:r>
          <m:t>y</m:t>
        </m:r>
      </m:oMath>
      <w:r>
        <w:rPr>
          <w:i w:val="0"/>
        </w:rPr>
        <w:t xml:space="preserve"> at points </w:t>
      </w:r>
      <m:oMath>
        <m:r>
          <m:t>X</m:t>
        </m:r>
      </m:oMath>
      <w:r>
        <w:rPr>
          <w:i w:val="0"/>
        </w:rPr>
        <w:t xml:space="preserve"> with noise covariance </w:t>
      </w:r>
      <m:oMath>
        <m:r>
          <m:t>Σ</m:t>
        </m:r>
      </m:oMath>
      <w:r>
        <w:rPr>
          <w:i w:val="0"/>
        </w:rPr>
        <w:t xml:space="preserve"> and a kernel </w:t>
      </w:r>
      <m:oMath>
        <m:r>
          <m:t>k</m:t>
        </m:r>
      </m:oMath>
      <w:r>
        <w:rPr>
          <w:i w:val="0"/>
        </w:rPr>
        <w:t xml:space="preserve">, the posterior at a candidate point </w:t>
      </w:r>
      <m:oMath>
        <m:sSub>
          <m:e>
            <m:r>
              <m:t>x</m:t>
            </m:r>
          </m:e>
          <m:sub>
            <m:r>
              <m:t>*</m:t>
            </m:r>
          </m:sub>
        </m:sSub>
      </m:oMath>
      <w:r>
        <w:rPr>
          <w:i w:val="0"/>
        </w:rPr>
        <w:t xml:space="preserve"> is</w:t>
      </w:r>
    </w:p>
    <w:p>
      <w:pPr>
        <w:spacing w:before="200" w:after="200"/>
        <w:ind w:firstLine="0"/>
        <w:jc w:val="center"/>
        <w:contextualSpacing w:val="0"/>
      </w:pPr>
      <m:oMath>
        <m:r>
          <m:t>μ(</m:t>
        </m:r>
        <m:sSub>
          <m:e>
            <m:r>
              <m:t>x</m:t>
            </m:r>
          </m:e>
          <m:sub>
            <m:r>
              <m:t>*</m:t>
            </m:r>
          </m:sub>
        </m:sSub>
        <m:r>
          <m:t>)=k(</m:t>
        </m:r>
        <m:sSub>
          <m:e>
            <m:r>
              <m:t>x</m:t>
            </m:r>
          </m:e>
          <m:sub>
            <m:r>
              <m:t>*</m:t>
            </m:r>
          </m:sub>
        </m:sSub>
        <m:r>
          <m:t>,X)</m:t>
        </m:r>
        <m:sSup>
          <m:e>
            <m:d>
              <m:dPr>
                <m:begChr m:val="["/>
                <m:sepChr m:val=""/>
                <m:endChr m:val="]"/>
              </m:dPr>
              <m:e>
                <m:r>
                  <m:t>K</m:t>
                </m:r>
                <m:r>
                  <m:t>(</m:t>
                </m:r>
                <m:r>
                  <m:t>X</m:t>
                </m:r>
                <m:r>
                  <m:t>,</m:t>
                </m:r>
                <m:r>
                  <m:t>X</m:t>
                </m:r>
                <m:r>
                  <m:t>)</m:t>
                </m:r>
                <m:r>
                  <m:t>+</m:t>
                </m:r>
                <m:r>
                  <m:t>Σ</m:t>
                </m:r>
              </m:e>
            </m:d>
          </m:e>
          <m:sup>
            <m:r>
              <m:t>−1</m:t>
            </m:r>
          </m:sup>
        </m:sSup>
        <m:r>
          <m:t>y,</m:t>
        </m:r>
        <m:sSup>
          <m:e>
            <m:r>
              <m:t>σ</m:t>
            </m:r>
          </m:e>
          <m:sup>
            <m:r>
              <m:t>2</m:t>
            </m:r>
          </m:sup>
        </m:sSup>
        <m:r>
          <m:t>(</m:t>
        </m:r>
        <m:sSub>
          <m:e>
            <m:r>
              <m:t>x</m:t>
            </m:r>
          </m:e>
          <m:sub>
            <m:r>
              <m:t>*</m:t>
            </m:r>
          </m:sub>
        </m:sSub>
        <m:r>
          <m:t>)=k(</m:t>
        </m:r>
        <m:sSub>
          <m:e>
            <m:r>
              <m:t>x</m:t>
            </m:r>
          </m:e>
          <m:sub>
            <m:r>
              <m:t>*</m:t>
            </m:r>
          </m:sub>
        </m:sSub>
        <m:r>
          <m:t>,</m:t>
        </m:r>
        <m:sSub>
          <m:e>
            <m:r>
              <m:t>x</m:t>
            </m:r>
          </m:e>
          <m:sub>
            <m:r>
              <m:t>*</m:t>
            </m:r>
          </m:sub>
        </m:sSub>
        <m:r>
          <m:t>)−k(</m:t>
        </m:r>
        <m:sSub>
          <m:e>
            <m:r>
              <m:t>x</m:t>
            </m:r>
          </m:e>
          <m:sub>
            <m:r>
              <m:t>*</m:t>
            </m:r>
          </m:sub>
        </m:sSub>
        <m:r>
          <m:t>,X)</m:t>
        </m:r>
        <m:sSup>
          <m:e>
            <m:d>
              <m:dPr>
                <m:begChr m:val="["/>
                <m:sepChr m:val=""/>
                <m:endChr m:val="]"/>
              </m:dPr>
              <m:e>
                <m:r>
                  <m:t>K</m:t>
                </m:r>
                <m:r>
                  <m:t>(</m:t>
                </m:r>
                <m:r>
                  <m:t>X</m:t>
                </m:r>
                <m:r>
                  <m:t>,</m:t>
                </m:r>
                <m:r>
                  <m:t>X</m:t>
                </m:r>
                <m:r>
                  <m:t>)</m:t>
                </m:r>
                <m:r>
                  <m:t>+</m:t>
                </m:r>
                <m:r>
                  <m:t>Σ</m:t>
                </m:r>
              </m:e>
            </m:d>
          </m:e>
          <m:sup>
            <m:r>
              <m:t>−1</m:t>
            </m:r>
          </m:sup>
        </m:sSup>
        <m:r>
          <m:t>k(X,</m:t>
        </m:r>
        <m:sSub>
          <m:e>
            <m:r>
              <m:t>x</m:t>
            </m:r>
          </m:e>
          <m:sub>
            <m:r>
              <m:t>*</m:t>
            </m:r>
          </m:sub>
        </m:sSub>
        <m:r>
          <m:t>),</m:t>
        </m:r>
      </m:oMath>
    </w:p>
    <w:p>
      <w:r>
        <w:rPr>
          <w:i w:val="0"/>
        </w:rPr>
        <w:t xml:space="preserve">and the founding policy was to measure where </w:t>
      </w:r>
      <m:oMath>
        <m:sSup>
          <m:e>
            <m:r>
              <m:t>σ</m:t>
            </m:r>
          </m:e>
          <m:sup>
            <m:r>
              <m:t>2</m:t>
            </m:r>
          </m:sup>
        </m:sSup>
      </m:oMath>
      <w:r>
        <w:rPr>
          <w:i w:val="0"/>
        </w:rPr>
        <w:t xml:space="preserve"> is largest.</w:t>
      </w:r>
    </w:p>
    <w:p>
      <w:r>
        <w:rPr>
          <w:i w:val="0"/>
        </w:rPr>
        <w:t xml:space="preserve">That policy has a property worth stating exactly, because much of what followed can be read as working around it. The posterior variance does not contain </w:t>
      </w:r>
      <m:oMath>
        <m:r>
          <m:t>y</m:t>
        </m:r>
      </m:oMath>
      <w:r>
        <w:rPr>
          <w:i w:val="0"/>
        </w:rPr>
        <w:t xml:space="preserve">. It is assembled from the kernel and the design points alone, so it is fully determined the moment the measurement locations are chosen, before any detector reads out. Uncertainty sampling is therefore a space-filling design. It puts points where points are sparse, and it cannot seek a phase boundary, because nothing in </w:t>
      </w:r>
      <m:oMath>
        <m:sSup>
          <m:e>
            <m:r>
              <m:t>σ</m:t>
            </m:r>
          </m:e>
          <m:sup>
            <m:r>
              <m:t>2</m:t>
            </m:r>
          </m:sup>
        </m:sSup>
      </m:oMath>
      <w:r>
        <w:rPr>
          <w:i w:val="0"/>
        </w:rPr>
        <w:t xml:space="preserve"> registers that one has been crossed.</w:t>
      </w:r>
    </w:p>
    <w:p>
      <w:r>
        <w:rPr>
          <w:i w:val="0"/>
        </w:rPr>
        <w:t>Neither re-fitting the kernel during the campaign nor allowing it to be anisotropic changes that, though both are worth having. Re-estimating the hyperparameters of a stationary kernel by maximizing the marginal likelihood yields new global length scales, and the design that follows is space-filling in a rescaled metric. An anisotropic stationary kernel with a short length scale along one direction demands denser sampling along that direction everywhere in the domain at once, because under stationarity the correlation length is by construction independent of position; there is no locus at which it is short. The extension supplied in 2020 by the same group with collaborators at the Air Force Research Laboratory, inhomogeneous measurement noise together with anisotropic kernels, therefore buys a better-proportioned map and a policy that knows a noisy measurement is worth less than a clean one, which is what the real signal-to-noise structure of synchrotron data demands. It does not by itself buy boundary-seeking.</w:t>
      </w:r>
    </w:p>
    <w:p>
      <w:r>
        <w:rPr>
          <w:i w:val="0"/>
        </w:rPr>
        <w:t xml:space="preserve">Boundary-seeking has to come from one of two places. Either the kernel is made non-stationary, so that its correlation length is itself a function of position and is estimated from the measurements; the fitted length scale then collapses wherever the response changes fast, posterior variance inflates in that neighbourhood, and the dependence on </w:t>
      </w:r>
      <m:oMath>
        <m:r>
          <m:t>y</m:t>
        </m:r>
      </m:oMath>
      <w:r>
        <w:rPr>
          <w:i w:val="0"/>
        </w:rPr>
        <w:t xml:space="preserve"> enters through the fitted local length scale rather than through the acquisition function. Or the acquisition function stops being </w:t>
      </w:r>
      <m:oMath>
        <m:sSup>
          <m:e>
            <m:r>
              <m:t>σ</m:t>
            </m:r>
          </m:e>
          <m:sup>
            <m:r>
              <m:t>2</m:t>
            </m:r>
          </m:sup>
        </m:sSup>
      </m:oMath>
      <w:r>
        <w:rPr>
          <w:i w:val="0"/>
        </w:rPr>
        <w:t xml:space="preserve">. The posterior mean is linear in </w:t>
      </w:r>
      <m:oMath>
        <m:r>
          <m:t>y</m:t>
        </m:r>
      </m:oMath>
      <w:r>
        <w:rPr>
          <w:i w:val="0"/>
        </w:rPr>
        <w:t xml:space="preserve">, so any functional of </w:t>
      </w:r>
      <m:oMath>
        <m:r>
          <m:t>μ</m:t>
        </m:r>
      </m:oMath>
      <w:r>
        <w:rPr>
          <w:i w:val="0"/>
        </w:rPr>
        <w:t xml:space="preserve"> and its derivatives does depend on what was measured: a policy that samples where </w:t>
      </w:r>
      <m:oMath>
        <m:d>
          <m:dPr>
            <m:begChr m:val="‖"/>
            <m:sepChr m:val="∇"/>
            <m:endChr m:val="‖"/>
          </m:dPr>
          <m:e/>
          <m:e>
            <m:r>
              <m:t>μ</m:t>
            </m:r>
          </m:e>
        </m:d>
      </m:oMath>
      <w:r>
        <w:rPr>
          <w:i w:val="0"/>
        </w:rPr>
        <w:t xml:space="preserve"> is large, or where the posterior probability of a label change sits near one half, walks along a boundary instead of filling the box. Which of the two an instrument uses is a statement about what it is looking for, and neither of them is the founding policy.</w:t>
      </w:r>
    </w:p>
    <w:p>
      <w:r>
        <w:rPr>
          <w:i w:val="0"/>
        </w:rPr>
        <w:t>Noack later packaged this class of decision-making machinery as the open-source gpCAM library, distributed at github.com/lbl-camera/gpCAM and described in the 2021 Nature Reviews Physics review by Marcus M. Noack, Petrus H. Zwart and a large group of facility collaborators including Eli Rotenberg at the Advanced Light Source and Paolo Mutti at the Institut Laue-Langevin. That review is the point at which the story stops being a single beamline. It documents Gaussian process regression as the shared decision-making engine for autonomous data acquisition across X-ray scattering at the National Synchrotron Light Source II, infrared spectroscopy and angle-resolved photoemission at the Advanced Light Source, and neutron scattering at the Institut Laue-Langevin.</w:t>
      </w:r>
    </w:p>
    <w:p>
      <w:r>
        <w:rPr>
          <w:i w:val="0"/>
        </w:rPr>
        <w:t>The photoemission case raises a difficulty that any surrogate-driven spectroscopy has to face. A Gaussian process is defined over a scalar response, while the datum at each point of momentum space is an entire energy-resolved spectrum, so something must reduce the spectrum before a surrogate over the scan coordinates can exist at all. Charles N. Melton and colleagues, at the Advanced Light Source with Sandia National Laboratories and the U.S. Naval Research Laboratory, combined k-means clustering with Gaussian process regression to steer angle-resolved photoemission data collection, concentrating measurement time on the regions of momentum space where the electronic structure features, and therefore the electronic phase information, actually vary.</w:t>
      </w:r>
    </w:p>
    <w:p>
      <w:r>
        <w:rPr>
          <w:i w:val="0"/>
        </w:rPr>
        <w:t>Two campaigns show what the loop buys. A. Gilad Kusne and colleagues at the National Institute of Standards and Technology, with the University of Maryland and SLAC, built CAMEO, for closed-loop autonomous materials exploration and optimization, which used Bayesian active learning over synchrotron diffraction to map a composition-phase diagram while the experiment ran and then to locate a phase-change memory material with an optimized figure of merit. Two objectives are in play there and should not be merged: mapping a boundary rewards measurements that resolve where the structure changes, while optimizing a figure of merit rewards measurements near the best material found so far. CAMEO used the emerging phase map as structure for the optimization, on the reasoning that properties vary smoothly within a phase field and discontinuously across its edge. Gregory S. Doerk and colleagues, at the Center for Functional Nanomaterials and the National Synchrotron Light Source II, then ran autonomous X-ray scattering on directed self-assembly of block copolymer blends and found previously unknown coexisting and hybrid morphologies, structural regimes that a human-designed grid would have stepped over.</w:t>
      </w:r>
    </w:p>
    <w:p>
      <w:pPr>
        <w:pStyle w:val="BookSection"/>
      </w:pPr>
      <w:r>
        <w:t>Latency</w:t>
      </w:r>
    </w:p>
    <w:p>
      <w:r>
        <w:rPr>
          <w:i w:val="0"/>
        </w:rPr>
        <w:t>None of this closes unless the analysis finishes before the next decision is due. Coherent diffraction imaging is the sharpest case, since ptychography traditionally recovers an image by iterative phase retrieval, alternating projections between real and reciprocal space for hundreds of iterations per dataset. The phase being retrieved there is the optical phase of a complex wavefield, which shares nothing with the thermodynamic phase of the rest of this chapter but the word. Mathew J. Cherukara and colleagues at Argonne National Laboratory trained PtychoNN, a two-headed encoder-decoder convolutional network that predicts real-space amplitude and optical phase directly from the far-field diffraction data recorded at each scan point, reconstructing hundreds of times faster than iterative retrieval and from sparsely sampled scans. Anakha V. Babu and colleagues, at Argonne with NVIDIA, then deployed a trained network on edge hardware at the beamline, making reconstruction a streaming operation that returns images while the scan is still running, which is the condition under which ptychography can steer an experiment rather than describe it afterwards.</w:t>
      </w:r>
    </w:p>
    <w:p>
      <w:r>
        <w:rPr>
          <w:i w:val="0"/>
        </w:rPr>
        <w:t xml:space="preserve">Neutron scattering inverted a different quantity. Anjana M. Samarakoon and colleagues, at Oak Ridge National Laboratory, Los Alamos National Laboratory and the University of Tennessee, Knoxville, trained an autoencoder on simulated three-dimensional diffuse scattering across a wide family of spin Hamiltonians, then used it to invert time-of-flight measurements of the spin ice </w:t>
      </w:r>
      <m:oMath>
        <m:r>
          <m:rPr>
            <m:sty m:val="p"/>
          </m:rPr>
          <m:t>D</m:t>
        </m:r>
        <m:sSub>
          <m:e>
            <m:r>
              <m:rPr>
                <m:sty m:val="p"/>
              </m:rPr>
              <m:t>y</m:t>
            </m:r>
          </m:e>
          <m:sub>
            <m:r>
              <m:t>2</m:t>
            </m:r>
          </m:sub>
        </m:sSub>
        <m:r>
          <m:rPr>
            <m:sty m:val="p"/>
          </m:rPr>
          <m:t>T</m:t>
        </m:r>
        <m:sSub>
          <m:e>
            <m:r>
              <m:rPr>
                <m:sty m:val="p"/>
              </m:rPr>
              <m:t>i</m:t>
            </m:r>
          </m:e>
          <m:sub>
            <m:r>
              <m:t>2</m:t>
            </m:r>
          </m:sub>
        </m:sSub>
        <m:sSub>
          <m:e>
            <m:r>
              <m:rPr>
                <m:sty m:val="p"/>
              </m:rPr>
              <m:t>O</m:t>
            </m:r>
          </m:e>
          <m:sub>
            <m:r>
              <m:t>7</m:t>
            </m:r>
          </m:sub>
        </m:sSub>
      </m:oMath>
      <w:r>
        <w:rPr>
          <w:i w:val="0"/>
        </w:rPr>
        <w:t xml:space="preserve"> taken on the CORELLI instrument at the Spallation Neutron Source. The output is the effective spin Hamiltonian with confidence intervals rather than a single fitted point, which matters because the region of parameter space consistent with the data is the object a phase diagram is drawn on. Sathya R. Chitturi and colleagues at SLAC National Accelerator Laboratory and Stanford University, with Oak Ridge National Laboratory, Howard University, Northeastern University, the University of Oxford and the University of Bristol, took the complementary route for dynamics. A neural implicit representation was trained to reproduce the dynamical structure factor </w:t>
      </w:r>
      <m:oMath>
        <m:r>
          <m:t>S(𝐐,ω)</m:t>
        </m:r>
      </m:oMath>
      <w:r>
        <w:rPr>
          <w:i w:val="0"/>
        </w:rPr>
        <w:t xml:space="preserve"> computed from a model Hamiltonian, and automatic differentiation through the trained network recovered unknown exchange parameters directly from inelastic neutron scattering data on the square-lattice antiferromagnet </w:t>
      </w:r>
      <m:oMath>
        <m:r>
          <m:rPr>
            <m:sty m:val="p"/>
          </m:rPr>
          <m:t>L</m:t>
        </m:r>
        <m:sSub>
          <m:e>
            <m:r>
              <m:rPr>
                <m:sty m:val="p"/>
              </m:rPr>
              <m:t>a</m:t>
            </m:r>
          </m:e>
          <m:sub>
            <m:r>
              <m:t>2</m:t>
            </m:r>
          </m:sub>
        </m:sSub>
        <m:r>
          <m:rPr>
            <m:sty m:val="p"/>
          </m:rPr>
          <m:t>Ni</m:t>
        </m:r>
        <m:sSub>
          <m:e>
            <m:r>
              <m:rPr>
                <m:sty m:val="p"/>
              </m:rPr>
              <m:t>O</m:t>
            </m:r>
          </m:e>
          <m:sub>
            <m:r>
              <m:t>4</m:t>
            </m:r>
          </m:sub>
        </m:sSub>
      </m:oMath>
      <w:r>
        <w:rPr>
          <w:i w:val="0"/>
        </w:rPr>
        <w:t>, matching conventional analytical fitting without manual peak-finding and fast enough for near-real-time analysis of multidimensional scattering data. The trained network is being used as a differentiable forward model, so gradients of a misfit with respect to Hamiltonian parameters are available at the cost of a backward pass, and a fit that took a graduate student a week becomes something an instrument can run between measurements.</w:t>
      </w:r>
    </w:p>
    <w:p>
      <w:pPr>
        <w:pStyle w:val="BookSection"/>
      </w:pPr>
      <w:r>
        <w:t>The microscope as its own scheduler</w:t>
      </w:r>
    </w:p>
    <w:p>
      <w:r>
        <w:rPr>
          <w:i w:val="0"/>
        </w:rPr>
        <w:t xml:space="preserve">Electron microscopy arrived at the same place from imaging rather than scattering. Maxim Ziatdinov and colleagues at Oak Ridge National Laboratory built a weakly supervised deep learning pipeline that identifies individual atoms by chemical species in atomically resolved scanning transmission electron microscopy images and tracks their local transformations frame by frame, including silicon dopants in graphene switching between coordination states and the formation of mixed-coordination silicon dimers. Weak supervision is the load-bearing word: the labels used in training are far coarser than the per-atom output, which is what makes the approach usable on real image stacks where nobody is going to annotate every atom. Artem Maksov and colleagues at the same laboratory applied the logic to an in situ image sequence, resolving the trajectory of defect populations during electron-beam-induced transformation of </w:t>
      </w:r>
      <m:oMath>
        <m:r>
          <m:rPr>
            <m:sty m:val="p"/>
          </m:rPr>
          <m:t>W</m:t>
        </m:r>
        <m:sSub>
          <m:e>
            <m:r>
              <m:rPr>
                <m:sty m:val="p"/>
              </m:rPr>
              <m:t>S</m:t>
            </m:r>
          </m:e>
          <m:sub>
            <m:r>
              <m:t>2</m:t>
            </m:r>
          </m:sub>
        </m:sSub>
      </m:oMath>
      <w:r>
        <w:rPr>
          <w:i w:val="0"/>
        </w:rPr>
        <w:t xml:space="preserve"> and converting a movie of a phase transformation into quantitative statistics over individual defect types. The 2022 Nature Reviews Methods Primers article led by Sergei V. Kalinin with Colin Ophus, Paul M. Voyles and thirteen further authors codified this practice across structural imaging, electron energy loss spectroscopy and four-dimensional scanning transmission electron microscopy.</w:t>
      </w:r>
    </w:p>
    <w:p>
      <w:r>
        <w:rPr>
          <w:i w:val="0"/>
        </w:rPr>
        <w:t xml:space="preserve">Then the microscope started choosing. Kevin M. Roccapriore and colleagues at Oak Ridge National Laboratory ran deep kernel learning inside a live four-dimensional experiment, in which a full diffraction pattern is recorded at every probe position. Deep kernel learning composes a neural network embedding </w:t>
      </w:r>
      <m:oMath>
        <m:sSub>
          <m:e>
            <m:r>
              <m:t>f</m:t>
            </m:r>
          </m:e>
          <m:sub>
            <m:r>
              <m:t>θ</m:t>
            </m:r>
          </m:sub>
        </m:sSub>
      </m:oMath>
      <w:r>
        <w:rPr>
          <w:i w:val="0"/>
        </w:rPr>
        <w:t xml:space="preserve"> with a Gaussian process kernel, evaluating </w:t>
      </w:r>
      <m:oMath>
        <m:r>
          <m:t>k(</m:t>
        </m:r>
        <m:sSub>
          <m:e>
            <m:r>
              <m:t>f</m:t>
            </m:r>
          </m:e>
          <m:sub>
            <m:r>
              <m:t>θ</m:t>
            </m:r>
          </m:sub>
        </m:sSub>
        <m:r>
          <m:t>(x),</m:t>
        </m:r>
        <m:sSub>
          <m:e>
            <m:r>
              <m:t>f</m:t>
            </m:r>
          </m:e>
          <m:sub>
            <m:r>
              <m:t>θ</m:t>
            </m:r>
          </m:sub>
        </m:sSub>
        <m:r>
          <m:t>(</m:t>
        </m:r>
        <m:sSup>
          <m:e>
            <m:r>
              <m:t>x</m:t>
            </m:r>
          </m:e>
          <m:sup>
            <m:r>
              <m:t>′</m:t>
            </m:r>
          </m:sup>
        </m:sSup>
        <m:r>
          <m:t>))</m:t>
        </m:r>
      </m:oMath>
      <w:r>
        <w:rPr>
          <w:i w:val="0"/>
        </w:rPr>
        <w:t xml:space="preserve"> and training the network weights and kernel hyperparameters together by maximizing the marginal likelihood. The embedding is what makes this work on image patches: the surrogate does not need a hand-designed descriptor of the local structure, because the network learns a representation in which similar structures sit close together and the Gaussian process supplies the posterior variance that ranks candidate probe positions. Note what has changed relative to a fixed stationary kernel on the raw coordinates. The embedding is fitted to the measurements, so the effective similarity between two positions is no longer a function of their separation alone, and the variance that ranks them has acquired a dependence on what the instrument has already seen. The microscope used those rankings to select which positions to measure next, targeting regions whose diffraction signatures indicated emergent structural behavior. Yongtao Liu and colleagues at Oak Ridge National Laboratory and the Tokyo Institute of Technology ran the same machinery inside a piezoresponse force microscope and discovered during the experiment which local ferroelectric domain-structure motifs produce the largest polarization-voltage hysteresis loops, from a very small number of spectroscopic measurements.</w:t>
      </w:r>
    </w:p>
    <w:p>
      <w:r>
        <w:rPr>
          <w:i w:val="0"/>
        </w:rPr>
        <w:t>The most consequential variant changes what the loop is for. Yongtao Liu and colleagues, with Anna N. Morozovska and Eugene A. Eliseev at the National Academy of Sciences of Ukraine, had an autonomous scanning probe microscope maintain several competing physical models of bias-induced ferroelectric domain switching at once, and select measurements that discriminate between them. Hypothesis learning, the authors' term for it, keeps a posterior over the model set rather than over a single response surface, so the value of a measurement is how much it is expected to move that posterior. The instrument is testing hypotheses rather than optimizing a scalar objective, and the two policies point at different places: the discriminating measurement is where the models disagree, which is often not where the response is largest.</w:t>
      </w:r>
    </w:p>
    <w:p>
      <w:pPr>
        <w:pStyle w:val="BookSection"/>
      </w:pPr>
      <w:r>
        <w:t>Single shots</w:t>
      </w:r>
    </w:p>
    <w:p>
      <w:r>
        <w:rPr>
          <w:i w:val="0"/>
        </w:rPr>
        <w:t>Ultracold atoms supply the case where the raw datum is already an image of the many-body state. Benno S. Rem and colleagues at the Institut für Laserphysik in Hamburg trained artificial neural networks on single-shot momentum-space density images and mapped the full two-dimensional topological phase diagram of the Haldane model, and obtained an improved characterization of the superfluid to Mott insulator transition in an inhomogeneous Bose-Hubbard system. The authors state that these results were not obtainable from conventional analysis of the same data, which is a claim about what a fixed observable discards: averaging shots into a correlator commits in advance to a statistic, and a network trained on individual shots is free to use structure that no chosen correlator retains.</w:t>
      </w:r>
    </w:p>
    <w:p>
      <w:r>
        <w:rPr>
          <w:i w:val="0"/>
        </w:rPr>
        <w:t>Annabelle Bohrdt and colleagues at the Technical University of Munich and Harvard University made that point adversarial. A classifier was trained on snapshots generated from two competing theories of the doped two-dimensional Fermi-Hubbard model and then applied to quantum gas microscope images of the real system. Up to intermediate doping the network assigned the experimental snapshots to geometric-string theory, a state carrying hidden spin order, rather than to a doped resonating-valence-bond spin liquid. The discriminating structure was present in single-shot data and had been missed by conventional correlators. Niklas Käming and colleagues at Universität Hamburg, ICFO in Barcelona and the University of Warsaw then removed the supervision, recovering the topological phase diagram of the Haldane model from noisy experimental data using anomaly detection and influence functions without being told the order parameter. Cole Miles and colleagues at Cornell University, Harvard University and the University of Innsbruck carried the same approach to a programmable Rydberg-atom quantum simulator, identifying phases and boundaries directly from projective measurement data, including regions of the phase diagram not anticipated from conventional order-parameter analysis.</w:t>
      </w:r>
    </w:p>
    <w:p>
      <w:pPr>
        <w:pStyle w:val="BookSection"/>
      </w:pPr>
      <w:r>
        <w:t>What the archive does not contain</w:t>
      </w:r>
    </w:p>
    <w:p>
      <w:r>
        <w:rPr>
          <w:i w:val="0"/>
        </w:rPr>
        <w:t>A raster scan wears its ignorance openly. The grid spacing is written in the logbook, and anyone can compute what fraction of parameter space fell between the points. An autonomous campaign leaves a different record: the measurements taken, the posterior that justified each one, and a kernel whose fitted correlation lengths encode an assumption about how far information travels. The assumption is what does the excluding, and it is the same assumption that made uncertainty sampling space-filling in the first place. A stationary kernel, anisotropic or not, presumes that the smoothness measured in one corner of the diagram describes the rest of it, so a region where the response varies on a scale the fitted length scale never contemplated is a region the surrogate is confident about for no reason. A deep kernel escapes stationarity only by substituting a different presumption, that structures the embedding maps close together are structures that behave alike. A phase whose signature the embedding treats as ordinary is a phase the acquisition function routes around, and it does so quietly, because low posterior variance and genuine absence of structure produce the same instruction to the motor.</w:t>
      </w:r>
    </w:p>
    <w:p>
      <w:r>
        <w:rPr>
          <w:i w:val="0"/>
        </w:rPr>
        <w:t>Gregory S. Doerk and colleagues found hybrid morphologies that a grid would have stepped over. The converse case leaves no trace at all. There is no residual in the dataset marking the composition the agent declined to visit on the eleventh iteration, and no entry in the archive to be reanalyzed when someone later suspects a boundary ran through it. The counterfactual is where the missing phase would be, and it is the one thing an autonomous instrument does not record.</w:t>
      </w:r>
    </w:p>
    <w:p>
      <w:pPr>
        <w:pStyle w:val="Heading1"/>
      </w:pPr>
      <w:r>
        <w:t>References</w:t>
      </w:r>
    </w:p>
    <w:p>
      <w:pPr>
        <w:spacing w:before="120" w:after="0"/>
        <w:ind w:firstLine="0"/>
      </w:pPr>
      <w:r>
        <w:rPr>
          <w:i w:val="0"/>
        </w:rPr>
        <w:t xml:space="preserve">Babu, Zhou, Kandel, Bicer, Liu, Judge, Ching, Jiang, Veseli, Henke, Chard, Yao, Sirazitdinova, Gupta, Holt, Foster, Miceli, Cherukara (2023). Nature Communications 14, article 7059. </w:t>
      </w:r>
      <w:hyperlink r:id="rId63">
        <w:r>
          <w:rPr>
            <w:rStyle w:val="Hyperlink"/>
          </w:rPr>
          <w:t xml:space="preserve">https://doi.org/10.1038/s41467-023-41496-z</w:t>
        </w:r>
      </w:hyperlink>
    </w:p>
    <w:p>
      <w:pPr>
        <w:spacing w:before="120" w:after="0"/>
        <w:ind w:firstLine="0"/>
      </w:pPr>
      <w:r>
        <w:rPr>
          <w:i w:val="0"/>
        </w:rPr>
        <w:t xml:space="preserve">Banko, Maffettone, Naujoks, Olds, Ludwig (2021). npj Computational Materials 7, article 104. </w:t>
      </w:r>
      <w:hyperlink r:id="rId64">
        <w:r>
          <w:rPr>
            <w:rStyle w:val="Hyperlink"/>
          </w:rPr>
          <w:t xml:space="preserve">https://doi.org/10.1038/s41524-021-00575-9</w:t>
        </w:r>
      </w:hyperlink>
    </w:p>
    <w:p>
      <w:pPr>
        <w:spacing w:before="120" w:after="0"/>
        <w:ind w:firstLine="0"/>
      </w:pPr>
      <w:r>
        <w:rPr>
          <w:i w:val="0"/>
        </w:rPr>
        <w:t xml:space="preserve">Bohrdt, Chiu, Ji, Xu, Greif, Greiner, Demler, Grusdt, Knap (2019). Nature Physics 15, 921-924. </w:t>
      </w:r>
      <w:hyperlink r:id="rId65">
        <w:r>
          <w:rPr>
            <w:rStyle w:val="Hyperlink"/>
          </w:rPr>
          <w:t xml:space="preserve">https://doi.org/10.1038/s41567-019-0565-x</w:t>
        </w:r>
      </w:hyperlink>
    </w:p>
    <w:p>
      <w:pPr>
        <w:spacing w:before="120" w:after="0"/>
        <w:ind w:firstLine="0"/>
      </w:pPr>
      <w:r>
        <w:rPr>
          <w:i w:val="0"/>
        </w:rPr>
        <w:t xml:space="preserve">Cherukara, Zhou, Nashed, Enfedaque, Hexemer, Harder, Holt (2020). Applied Physics Letters 117(4), 044103. </w:t>
      </w:r>
      <w:hyperlink r:id="rId66">
        <w:r>
          <w:rPr>
            <w:rStyle w:val="Hyperlink"/>
          </w:rPr>
          <w:t xml:space="preserve">https://doi.org/10.1063/5.0013065</w:t>
        </w:r>
      </w:hyperlink>
    </w:p>
    <w:p>
      <w:pPr>
        <w:spacing w:before="120" w:after="0"/>
        <w:ind w:firstLine="0"/>
      </w:pPr>
      <w:r>
        <w:rPr>
          <w:i w:val="0"/>
        </w:rPr>
        <w:t xml:space="preserve">Chitturi, Ji, Petsch, Peng, Chen, Plumley, Dunne, Mardanya, Chowdhury, Chen, Bansil, Feiguin, Kolesnikov, Prabhakaran, Hayden, Ratner, Jia, Nashed, Turner (2023). Nature Communications 14, article 5852. </w:t>
      </w:r>
      <w:hyperlink r:id="rId67">
        <w:r>
          <w:rPr>
            <w:rStyle w:val="Hyperlink"/>
          </w:rPr>
          <w:t xml:space="preserve">https://doi.org/10.1038/s41467-023-41378-4</w:t>
        </w:r>
      </w:hyperlink>
    </w:p>
    <w:p>
      <w:pPr>
        <w:spacing w:before="120" w:after="0"/>
        <w:ind w:firstLine="0"/>
      </w:pPr>
      <w:r>
        <w:rPr>
          <w:i w:val="0"/>
        </w:rPr>
        <w:t xml:space="preserve">Doerk, Stein, Bae, Noack, Fukuto, Yager (2023). Science Advances 9(2), eadd3687. </w:t>
      </w:r>
      <w:hyperlink r:id="rId68">
        <w:r>
          <w:rPr>
            <w:rStyle w:val="Hyperlink"/>
          </w:rPr>
          <w:t xml:space="preserve">https://doi.org/10.1126/sciadv.add3687</w:t>
        </w:r>
      </w:hyperlink>
    </w:p>
    <w:p>
      <w:pPr>
        <w:spacing w:before="120" w:after="0"/>
        <w:ind w:firstLine="0"/>
      </w:pPr>
      <w:r>
        <w:rPr>
          <w:i w:val="0"/>
        </w:rPr>
        <w:t xml:space="preserve">Kalinin, Ophus, Voyles, Erni, Kepaptsoglou, Grillo, Lupini, Oxley, Schwenker, Chan, Etheridge, Li, Han, Ziatdinov, Shibata, Pennycook (2022). Nature Reviews Methods Primers 2, article 11. </w:t>
      </w:r>
      <w:hyperlink r:id="rId69">
        <w:r>
          <w:rPr>
            <w:rStyle w:val="Hyperlink"/>
          </w:rPr>
          <w:t xml:space="preserve">https://doi.org/10.1038/s43586-022-00095-w</w:t>
        </w:r>
      </w:hyperlink>
    </w:p>
    <w:p>
      <w:pPr>
        <w:spacing w:before="120" w:after="0"/>
        <w:ind w:firstLine="0"/>
      </w:pPr>
      <w:r>
        <w:rPr>
          <w:i w:val="0"/>
        </w:rPr>
        <w:t xml:space="preserve">Kusne, Yu, Wu, Zhang, Hattrick-Simpers, DeCost, Sarker, Oses, Toher, Curtarolo, Davydov, Agarwal, Bendersky, Li, Mehta, Takeuchi (2020). Nature Communications 11, article 5966. </w:t>
      </w:r>
      <w:hyperlink r:id="rId70">
        <w:r>
          <w:rPr>
            <w:rStyle w:val="Hyperlink"/>
          </w:rPr>
          <w:t xml:space="preserve">https://doi.org/10.1038/s41467-020-19597-w</w:t>
        </w:r>
      </w:hyperlink>
    </w:p>
    <w:p>
      <w:pPr>
        <w:spacing w:before="120" w:after="0"/>
        <w:ind w:firstLine="0"/>
      </w:pPr>
      <w:r>
        <w:rPr>
          <w:i w:val="0"/>
        </w:rPr>
        <w:t xml:space="preserve">Käming, Dawid, Kottmann, Lewenstein, Sengstock, Dauphin, Weitenberg (2021). Machine Learning: Science and Technology 2(3), 035037. </w:t>
      </w:r>
      <w:hyperlink r:id="rId71">
        <w:r>
          <w:rPr>
            <w:rStyle w:val="Hyperlink"/>
          </w:rPr>
          <w:t xml:space="preserve">https://doi.org/10.1088/2632-2153/abffe7</w:t>
        </w:r>
      </w:hyperlink>
    </w:p>
    <w:p>
      <w:pPr>
        <w:spacing w:before="120" w:after="0"/>
        <w:ind w:firstLine="0"/>
      </w:pPr>
      <w:r>
        <w:rPr>
          <w:i w:val="0"/>
        </w:rPr>
        <w:t xml:space="preserve">Leeman, Liu, Stiles, Lee, Bhatt, Schoop, Palgrave (2024). PRX Energy 3(1), 011002. </w:t>
      </w:r>
      <w:hyperlink r:id="rId72">
        <w:r>
          <w:rPr>
            <w:rStyle w:val="Hyperlink"/>
          </w:rPr>
          <w:t xml:space="preserve">https://doi.org/10.1103/PRXEnergy.3.011002</w:t>
        </w:r>
      </w:hyperlink>
    </w:p>
    <w:p>
      <w:pPr>
        <w:spacing w:before="120" w:after="0"/>
        <w:ind w:firstLine="0"/>
      </w:pPr>
      <w:r>
        <w:rPr>
          <w:i w:val="0"/>
        </w:rPr>
        <w:t xml:space="preserve">Liu, Kelley, Vasudevan, Funakubo, Ziatdinov, Kalinin (2022). Nature Machine Intelligence 4(4), 341-350. </w:t>
      </w:r>
      <w:hyperlink r:id="rId73">
        <w:r>
          <w:rPr>
            <w:rStyle w:val="Hyperlink"/>
          </w:rPr>
          <w:t xml:space="preserve">https://doi.org/10.1038/s42256-022-00460-0</w:t>
        </w:r>
      </w:hyperlink>
    </w:p>
    <w:p>
      <w:pPr>
        <w:spacing w:before="120" w:after="0"/>
        <w:ind w:firstLine="0"/>
      </w:pPr>
      <w:r>
        <w:rPr>
          <w:i w:val="0"/>
        </w:rPr>
        <w:t xml:space="preserve">Liu, Morozovska, Eliseev, Kelley, Vasudevan, Ziatdinov, Kalinin (2023). Patterns 4(3), 100704. </w:t>
      </w:r>
      <w:hyperlink r:id="rId74">
        <w:r>
          <w:rPr>
            <w:rStyle w:val="Hyperlink"/>
          </w:rPr>
          <w:t xml:space="preserve">https://doi.org/10.1016/j.patter.2023.100704</w:t>
        </w:r>
      </w:hyperlink>
    </w:p>
    <w:p>
      <w:pPr>
        <w:spacing w:before="120" w:after="0"/>
        <w:ind w:firstLine="0"/>
      </w:pPr>
      <w:r>
        <w:rPr>
          <w:i w:val="0"/>
        </w:rPr>
        <w:t xml:space="preserve">Maffettone, Banko, Cui, Lysogorskiy, Little, Olds, Ludwig, Cooper (2021). Nature Computational Science 1(4), 290-297. </w:t>
      </w:r>
      <w:hyperlink r:id="rId75">
        <w:r>
          <w:rPr>
            <w:rStyle w:val="Hyperlink"/>
          </w:rPr>
          <w:t xml:space="preserve">https://doi.org/10.1038/s43588-021-00059-2</w:t>
        </w:r>
      </w:hyperlink>
    </w:p>
    <w:p>
      <w:pPr>
        <w:spacing w:before="120" w:after="0"/>
        <w:ind w:firstLine="0"/>
      </w:pPr>
      <w:r>
        <w:rPr>
          <w:i w:val="0"/>
        </w:rPr>
        <w:t xml:space="preserve">Maksov, Dyck, Wang, Xiao, Geohegan, Sumpter, Vasudevan, Jesse, Kalinin, Ziatdinov (2019). npj Computational Materials 5, article 12. </w:t>
      </w:r>
      <w:hyperlink r:id="rId76">
        <w:r>
          <w:rPr>
            <w:rStyle w:val="Hyperlink"/>
          </w:rPr>
          <w:t xml:space="preserve">https://doi.org/10.1038/s41524-019-0152-9</w:t>
        </w:r>
      </w:hyperlink>
    </w:p>
    <w:p>
      <w:pPr>
        <w:spacing w:before="120" w:after="0"/>
        <w:ind w:firstLine="0"/>
      </w:pPr>
      <w:r>
        <w:rPr>
          <w:i w:val="0"/>
        </w:rPr>
        <w:t xml:space="preserve">Melton, Noack, Ohta, Beechem, Robinson, Zhang, Bostwick, Jozwiak, Koch, Zwart, Hexemer, Rotenberg (2020). Machine Learning: Science and Technology 1(4), 045015. </w:t>
      </w:r>
      <w:hyperlink r:id="rId77">
        <w:r>
          <w:rPr>
            <w:rStyle w:val="Hyperlink"/>
          </w:rPr>
          <w:t xml:space="preserve">https://doi.org/10.1088/2632-2153/abab61</w:t>
        </w:r>
      </w:hyperlink>
    </w:p>
    <w:p>
      <w:pPr>
        <w:spacing w:before="120" w:after="0"/>
        <w:ind w:firstLine="0"/>
      </w:pPr>
      <w:r>
        <w:rPr>
          <w:i w:val="0"/>
        </w:rPr>
        <w:t xml:space="preserve">Miles, Samajdar, Ebadi, Wang, Pichler, Sachdev, Lukin, Greiner, Weinberger, Kim (2023). Physical Review Research 5(1), 013026. </w:t>
      </w:r>
      <w:hyperlink r:id="rId78">
        <w:r>
          <w:rPr>
            <w:rStyle w:val="Hyperlink"/>
          </w:rPr>
          <w:t xml:space="preserve">https://doi.org/10.1103/PhysRevResearch.5.013026</w:t>
        </w:r>
      </w:hyperlink>
    </w:p>
    <w:p>
      <w:pPr>
        <w:spacing w:before="120" w:after="0"/>
        <w:ind w:firstLine="0"/>
      </w:pPr>
      <w:r>
        <w:rPr>
          <w:i w:val="0"/>
        </w:rPr>
        <w:t xml:space="preserve">Noack, Doerk, Li, Streit, Vaia, Yager, Fukuto (2020). Scientific Reports 10, article 17663. </w:t>
      </w:r>
      <w:hyperlink r:id="rId79">
        <w:r>
          <w:rPr>
            <w:rStyle w:val="Hyperlink"/>
          </w:rPr>
          <w:t xml:space="preserve">https://doi.org/10.1038/s41598-020-74394-1</w:t>
        </w:r>
      </w:hyperlink>
    </w:p>
    <w:p>
      <w:pPr>
        <w:spacing w:before="120" w:after="0"/>
        <w:ind w:firstLine="0"/>
      </w:pPr>
      <w:r>
        <w:rPr>
          <w:i w:val="0"/>
        </w:rPr>
        <w:t xml:space="preserve">Noack, Yager, Fukuto, Doerk, Li, Sethian (2019). Scientific Reports 9, article 11809. </w:t>
      </w:r>
      <w:hyperlink r:id="rId80">
        <w:r>
          <w:rPr>
            <w:rStyle w:val="Hyperlink"/>
          </w:rPr>
          <w:t xml:space="preserve">https://doi.org/10.1038/s41598-019-48114-3</w:t>
        </w:r>
      </w:hyperlink>
    </w:p>
    <w:p>
      <w:pPr>
        <w:spacing w:before="120" w:after="0"/>
        <w:ind w:firstLine="0"/>
      </w:pPr>
      <w:r>
        <w:rPr>
          <w:i w:val="0"/>
        </w:rPr>
        <w:t xml:space="preserve">Noack, Zwart, Ushizima, Fukuto, Yager, Elbert, Murray, Stein, Doerk, Tsai, Li, Freychet, Zhernenkov, Holman, Lee, Chen, Rotenberg, Weber, Le Goc, Boehm, Steffens, Mutti, Sethian (2021). Nature Reviews Physics 3(10), 685-697. </w:t>
      </w:r>
      <w:hyperlink r:id="rId81">
        <w:r>
          <w:rPr>
            <w:rStyle w:val="Hyperlink"/>
          </w:rPr>
          <w:t xml:space="preserve">https://doi.org/10.1038/s42254-021-00345-y</w:t>
        </w:r>
      </w:hyperlink>
    </w:p>
    <w:p>
      <w:pPr>
        <w:spacing w:before="120" w:after="0"/>
        <w:ind w:firstLine="0"/>
      </w:pPr>
      <w:r>
        <w:rPr>
          <w:i w:val="0"/>
        </w:rPr>
        <w:t xml:space="preserve">Oviedo, Ren, Sun, Settens, Liu, Hartono, Ramasamy, DeCost, Tian, Romano, Kusne, Buonassisi (2019). npj Computational Materials 5, article 60. </w:t>
      </w:r>
      <w:hyperlink r:id="rId82">
        <w:r>
          <w:rPr>
            <w:rStyle w:val="Hyperlink"/>
          </w:rPr>
          <w:t xml:space="preserve">https://doi.org/10.1038/s41524-019-0196-x</w:t>
        </w:r>
      </w:hyperlink>
    </w:p>
    <w:p>
      <w:pPr>
        <w:spacing w:before="120" w:after="0"/>
        <w:ind w:firstLine="0"/>
      </w:pPr>
      <w:r>
        <w:rPr>
          <w:i w:val="0"/>
        </w:rPr>
        <w:t xml:space="preserve">Park, Chung, Jung, Sohn, Singh, Pyo, Shin, Sohn (2017). IUCrJ 4(4), 486-494. </w:t>
      </w:r>
      <w:hyperlink r:id="rId83">
        <w:r>
          <w:rPr>
            <w:rStyle w:val="Hyperlink"/>
          </w:rPr>
          <w:t xml:space="preserve">https://doi.org/10.1107/S205225251700714X</w:t>
        </w:r>
      </w:hyperlink>
    </w:p>
    <w:p>
      <w:pPr>
        <w:spacing w:before="120" w:after="0"/>
        <w:ind w:firstLine="0"/>
      </w:pPr>
      <w:r>
        <w:rPr>
          <w:i w:val="0"/>
        </w:rPr>
        <w:t xml:space="preserve">Rem, Käming, Tarnowski, Asteria, Fläschner, Becker, Sengstock, Weitenberg (2019). Nature Physics 15, 917-920. </w:t>
      </w:r>
      <w:hyperlink r:id="rId84">
        <w:r>
          <w:rPr>
            <w:rStyle w:val="Hyperlink"/>
          </w:rPr>
          <w:t xml:space="preserve">https://doi.org/10.1038/s41567-019-0554-0</w:t>
        </w:r>
      </w:hyperlink>
    </w:p>
    <w:p>
      <w:pPr>
        <w:spacing w:before="120" w:after="0"/>
        <w:ind w:firstLine="0"/>
      </w:pPr>
      <w:r>
        <w:rPr>
          <w:i w:val="0"/>
        </w:rPr>
        <w:t xml:space="preserve">Roccapriore, Dyck, Oxley, Ziatdinov, Kalinin (2022). ACS Nano 16(5), 7605-7614. </w:t>
      </w:r>
      <w:hyperlink r:id="rId85">
        <w:r>
          <w:rPr>
            <w:rStyle w:val="Hyperlink"/>
          </w:rPr>
          <w:t xml:space="preserve">https://doi.org/10.1021/acsnano.1c11118</w:t>
        </w:r>
      </w:hyperlink>
    </w:p>
    <w:p>
      <w:pPr>
        <w:spacing w:before="120" w:after="0"/>
        <w:ind w:firstLine="0"/>
      </w:pPr>
      <w:r>
        <w:rPr>
          <w:i w:val="0"/>
        </w:rPr>
        <w:t xml:space="preserve">Samarakoon, Barros, Li, Eisenbach, Zhang, Ye, Sharma, Dun, Zhou, Grigera, Batista, Tennant (2020). Nature Communications 11, article 892. </w:t>
      </w:r>
      <w:hyperlink r:id="rId86">
        <w:r>
          <w:rPr>
            <w:rStyle w:val="Hyperlink"/>
          </w:rPr>
          <w:t xml:space="preserve">https://doi.org/10.1038/s41467-020-14660-y</w:t>
        </w:r>
      </w:hyperlink>
    </w:p>
    <w:p>
      <w:pPr>
        <w:spacing w:before="120" w:after="0"/>
        <w:ind w:firstLine="0"/>
      </w:pPr>
      <w:r>
        <w:rPr>
          <w:i w:val="0"/>
        </w:rPr>
        <w:t xml:space="preserve">Stach, DeCost, Kusne, Hattrick-Simpers, Brown, Reyes, Schrier, Billinge (2021). Matter 4(9), 2702-2726. </w:t>
      </w:r>
      <w:hyperlink r:id="rId87">
        <w:r>
          <w:rPr>
            <w:rStyle w:val="Hyperlink"/>
          </w:rPr>
          <w:t xml:space="preserve">https://doi.org/10.1016/j.matt.2021.06.036</w:t>
        </w:r>
      </w:hyperlink>
    </w:p>
    <w:p>
      <w:pPr>
        <w:spacing w:before="120" w:after="0"/>
        <w:ind w:firstLine="0"/>
      </w:pPr>
      <w:r>
        <w:rPr>
          <w:i w:val="0"/>
        </w:rPr>
        <w:t xml:space="preserve">Szymanski, Bartel, Zeng, Tu, Ceder (2021). Chemistry of Materials 33(11), 4204-4215. </w:t>
      </w:r>
      <w:hyperlink r:id="rId88">
        <w:r>
          <w:rPr>
            <w:rStyle w:val="Hyperlink"/>
          </w:rPr>
          <w:t xml:space="preserve">https://doi.org/10.1021/acs.chemmater.1c01071</w:t>
        </w:r>
      </w:hyperlink>
    </w:p>
    <w:p>
      <w:pPr>
        <w:spacing w:before="120" w:after="0"/>
        <w:ind w:firstLine="0"/>
      </w:pPr>
      <w:r>
        <w:rPr>
          <w:i w:val="0"/>
        </w:rPr>
        <w:t xml:space="preserve">Szymanski, Rendy, Fei, Kumar, He, Milsted, McDermott, Gallant, Cubuk, Merchant, Kim, Jain, Bartel, Persson, Zeng, Ceder (2023). Nature 624(7990), 86-91. </w:t>
      </w:r>
      <w:hyperlink r:id="rId89">
        <w:r>
          <w:rPr>
            <w:rStyle w:val="Hyperlink"/>
          </w:rPr>
          <w:t xml:space="preserve">https://doi.org/10.1038/s41586-023-06734-w</w:t>
        </w:r>
      </w:hyperlink>
    </w:p>
    <w:p>
      <w:pPr>
        <w:spacing w:before="120" w:after="0"/>
        <w:ind w:firstLine="0"/>
      </w:pPr>
      <w:r>
        <w:rPr>
          <w:i w:val="0"/>
        </w:rPr>
        <w:t xml:space="preserve">Ziatdinov, Dyck, Maksov, Li, Sang, Xiao, Unocic, Vasudevan, Jesse, Kalinin (2017). ACS Nano 11(12), 12742-12752. </w:t>
      </w:r>
      <w:hyperlink r:id="rId90">
        <w:r>
          <w:rPr>
            <w:rStyle w:val="Hyperlink"/>
          </w:rPr>
          <w:t xml:space="preserve">https://doi.org/10.1021/acsnano.7b07504</w:t>
        </w:r>
      </w:hyperlink>
    </w:p>
    <w:sectPr w:rsidR="007C37E4" w:rsidRPr="008E07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8B5B96"/>
    <w:multiLevelType w:val="hybridMultilevel"/>
    <w:tmpl w:val="C0AC22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672072D2"/>
    <w:multiLevelType w:val="multilevel"/>
    <w:tmpl w:val="4F26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19588">
    <w:abstractNumId w:val="1"/>
  </w:num>
  <w:num w:numId="2" w16cid:durableId="658506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3E"/>
    <w:rsid w:val="000059B6"/>
    <w:rsid w:val="00011D75"/>
    <w:rsid w:val="0009176D"/>
    <w:rsid w:val="001300C4"/>
    <w:rsid w:val="003E438B"/>
    <w:rsid w:val="0061693E"/>
    <w:rsid w:val="006E401A"/>
    <w:rsid w:val="00777342"/>
    <w:rsid w:val="007C37E4"/>
    <w:rsid w:val="008E0704"/>
    <w:rsid w:val="00B53BBD"/>
    <w:rsid w:val="00C40D96"/>
    <w:rsid w:val="00DA562F"/>
    <w:rsid w:val="00F31A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CF657"/>
  <w15:chartTrackingRefBased/>
  <w15:docId w15:val="{295E243A-8DB0-4905-B258-D9314E81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62F"/>
    <w:pPr>
      <w:keepNext/>
      <w:keepLines/>
      <w:spacing w:before="360" w:after="80" w:line="240" w:lineRule="auto"/>
      <w:ind w:firstLine="720"/>
      <w:contextualSpacing/>
      <w:outlineLvl w:val="0"/>
    </w:pPr>
    <w:rPr>
      <w:rFonts w:ascii="Garamond" w:eastAsiaTheme="majorEastAsia" w:hAnsi="Garamond" w:cstheme="majorBidi"/>
    </w:rPr>
  </w:style>
  <w:style w:type="paragraph" w:styleId="Heading1">
    <w:name w:val="heading 1"/>
    <w:basedOn w:val="Normal"/>
    <w:next w:val="Normal"/>
    <w:link w:val="Heading1Char"/>
    <w:uiPriority w:val="9"/>
    <w:qFormat/>
    <w:rsid w:val="003E438B"/>
    <w:pPr>
      <w:ind w:firstLine="0"/>
      <w:jc w:val="center"/>
    </w:pPr>
    <w:rPr>
      <w:b/>
      <w:bCs/>
      <w:sz w:val="48"/>
      <w:szCs w:val="48"/>
    </w:rPr>
  </w:style>
  <w:style w:type="paragraph" w:styleId="Heading2">
    <w:name w:val="heading 2"/>
    <w:basedOn w:val="Normal"/>
    <w:next w:val="Normal"/>
    <w:link w:val="Heading2Char"/>
    <w:uiPriority w:val="9"/>
    <w:semiHidden/>
    <w:unhideWhenUsed/>
    <w:qFormat/>
    <w:rsid w:val="0061693E"/>
    <w:pPr>
      <w:spacing w:before="160"/>
      <w:outlineLvl w:val="1"/>
    </w:pPr>
    <w:rPr>
      <w:rFonts w:asciiTheme="majorHAnsi"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61693E"/>
    <w:pPr>
      <w:spacing w:before="16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61693E"/>
    <w:pPr>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61693E"/>
    <w:pPr>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61693E"/>
    <w:pPr>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61693E"/>
    <w:pPr>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61693E"/>
    <w:pPr>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61693E"/>
    <w:pPr>
      <w:spacing w:after="0"/>
      <w:outlineLvl w:val="8"/>
    </w:pPr>
    <w:rPr>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8B"/>
    <w:rPr>
      <w:rFonts w:ascii="Garamond" w:eastAsiaTheme="majorEastAsia" w:hAnsi="Garamond" w:cstheme="majorBidi"/>
      <w:b/>
      <w:bCs/>
      <w:sz w:val="48"/>
      <w:szCs w:val="48"/>
    </w:rPr>
  </w:style>
  <w:style w:type="character" w:customStyle="1" w:styleId="Heading2Char">
    <w:name w:val="Heading 2 Char"/>
    <w:basedOn w:val="DefaultParagraphFont"/>
    <w:link w:val="Heading2"/>
    <w:uiPriority w:val="9"/>
    <w:semiHidden/>
    <w:rsid w:val="006169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69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69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69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69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9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9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93E"/>
    <w:rPr>
      <w:rFonts w:eastAsiaTheme="majorEastAsia" w:cstheme="majorBidi"/>
      <w:color w:val="272727" w:themeColor="text1" w:themeTint="D8"/>
    </w:rPr>
  </w:style>
  <w:style w:type="paragraph" w:styleId="Title">
    <w:name w:val="Title"/>
    <w:basedOn w:val="Normal"/>
    <w:next w:val="Normal"/>
    <w:link w:val="TitleChar"/>
    <w:uiPriority w:val="10"/>
    <w:qFormat/>
    <w:rsid w:val="00777342"/>
    <w:pPr>
      <w:jc w:val="center"/>
    </w:pPr>
    <w:rPr>
      <w:spacing w:val="-10"/>
      <w:kern w:val="28"/>
      <w:sz w:val="96"/>
      <w:szCs w:val="96"/>
    </w:rPr>
  </w:style>
  <w:style w:type="character" w:customStyle="1" w:styleId="TitleChar">
    <w:name w:val="Title Char"/>
    <w:basedOn w:val="DefaultParagraphFont"/>
    <w:link w:val="Title"/>
    <w:uiPriority w:val="10"/>
    <w:rsid w:val="00777342"/>
    <w:rPr>
      <w:rFonts w:ascii="Garamond" w:eastAsiaTheme="majorEastAsia" w:hAnsi="Garamond" w:cstheme="majorBidi"/>
      <w:b/>
      <w:bCs/>
      <w:spacing w:val="-10"/>
      <w:kern w:val="28"/>
      <w:sz w:val="96"/>
      <w:szCs w:val="96"/>
    </w:rPr>
  </w:style>
  <w:style w:type="paragraph" w:styleId="Subtitle">
    <w:name w:val="Subtitle"/>
    <w:basedOn w:val="Normal"/>
    <w:next w:val="Normal"/>
    <w:link w:val="SubtitleChar"/>
    <w:uiPriority w:val="11"/>
    <w:qFormat/>
    <w:rsid w:val="0061693E"/>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sid w:val="006169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93E"/>
    <w:pPr>
      <w:spacing w:before="160"/>
      <w:jc w:val="center"/>
    </w:pPr>
    <w:rPr>
      <w:i/>
      <w:iCs/>
      <w:color w:val="404040" w:themeColor="text1" w:themeTint="BF"/>
    </w:rPr>
  </w:style>
  <w:style w:type="character" w:customStyle="1" w:styleId="QuoteChar">
    <w:name w:val="Quote Char"/>
    <w:basedOn w:val="DefaultParagraphFont"/>
    <w:link w:val="Quote"/>
    <w:uiPriority w:val="29"/>
    <w:rsid w:val="0061693E"/>
    <w:rPr>
      <w:i/>
      <w:iCs/>
      <w:color w:val="404040" w:themeColor="text1" w:themeTint="BF"/>
    </w:rPr>
  </w:style>
  <w:style w:type="paragraph" w:styleId="ListParagraph">
    <w:name w:val="List Paragraph"/>
    <w:basedOn w:val="Normal"/>
    <w:uiPriority w:val="34"/>
    <w:qFormat/>
    <w:rsid w:val="0061693E"/>
    <w:pPr>
      <w:ind w:left="720"/>
    </w:pPr>
  </w:style>
  <w:style w:type="character" w:styleId="IntenseEmphasis">
    <w:name w:val="Intense Emphasis"/>
    <w:basedOn w:val="DefaultParagraphFont"/>
    <w:uiPriority w:val="21"/>
    <w:qFormat/>
    <w:rsid w:val="0061693E"/>
    <w:rPr>
      <w:i/>
      <w:iCs/>
      <w:color w:val="0F4761" w:themeColor="accent1" w:themeShade="BF"/>
    </w:rPr>
  </w:style>
  <w:style w:type="paragraph" w:styleId="IntenseQuote">
    <w:name w:val="Intense Quote"/>
    <w:basedOn w:val="Normal"/>
    <w:next w:val="Normal"/>
    <w:link w:val="IntenseQuoteChar"/>
    <w:uiPriority w:val="30"/>
    <w:qFormat/>
    <w:rsid w:val="0061693E"/>
    <w:pPr>
      <w:pBdr>
        <w:top w:val="single" w:sz="4" w:space="10" w:color="0F4761" w:themeColor="accent1" w:themeShade="BF"/>
        <w:bottom w:val="single" w:sz="4" w:space="10" w:color="0F4761" w:themeColor="accent1" w:themeShade="BF"/>
      </w:pBdr>
      <w:spacing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693E"/>
    <w:rPr>
      <w:i/>
      <w:iCs/>
      <w:color w:val="0F4761" w:themeColor="accent1" w:themeShade="BF"/>
    </w:rPr>
  </w:style>
  <w:style w:type="character" w:styleId="IntenseReference">
    <w:name w:val="Intense Reference"/>
    <w:basedOn w:val="DefaultParagraphFont"/>
    <w:uiPriority w:val="32"/>
    <w:qFormat/>
    <w:rsid w:val="0061693E"/>
    <w:rPr>
      <w:b/>
      <w:bCs/>
      <w:smallCaps/>
      <w:color w:val="0F4761" w:themeColor="accent1" w:themeShade="BF"/>
      <w:spacing w:val="5"/>
    </w:rPr>
  </w:style>
  <w:style w:type="paragraph" w:customStyle="1" w:styleId="msonormal0">
    <w:name w:val="msonormal"/>
    <w:basedOn w:val="Normal"/>
    <w:rsid w:val="0061693E"/>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61693E"/>
    <w:pPr>
      <w:spacing w:before="100" w:beforeAutospacing="1" w:after="100" w:afterAutospacing="1"/>
    </w:pPr>
    <w:rPr>
      <w:rFonts w:ascii="Times New Roman" w:eastAsia="Times New Roman" w:hAnsi="Times New Roman" w:cs="Times New Roman"/>
      <w:kern w:val="0"/>
      <w14:ligatures w14:val="none"/>
    </w:rPr>
  </w:style>
  <w:style w:type="character" w:customStyle="1" w:styleId="math-inline">
    <w:name w:val="math-inline"/>
    <w:basedOn w:val="DefaultParagraphFont"/>
    <w:rsid w:val="0061693E"/>
  </w:style>
  <w:style w:type="character" w:styleId="Hyperlink">
    <w:name w:val="Hyperlink"/>
    <w:basedOn w:val="DefaultParagraphFont"/>
    <w:uiPriority w:val="99"/>
    <w:unhideWhenUsed/>
    <w:rsid w:val="0061693E"/>
    <w:rPr>
      <w:color w:val="0000FF"/>
      <w:u w:val="single"/>
    </w:rPr>
  </w:style>
  <w:style w:type="character" w:styleId="FollowedHyperlink">
    <w:name w:val="FollowedHyperlink"/>
    <w:basedOn w:val="DefaultParagraphFont"/>
    <w:uiPriority w:val="99"/>
    <w:semiHidden/>
    <w:unhideWhenUsed/>
    <w:rsid w:val="0061693E"/>
    <w:rPr>
      <w:color w:val="800080"/>
      <w:u w:val="single"/>
    </w:rPr>
  </w:style>
  <w:style w:type="character" w:styleId="UnresolvedMention">
    <w:name w:val="Unresolved Mention"/>
    <w:basedOn w:val="DefaultParagraphFont"/>
    <w:uiPriority w:val="99"/>
    <w:semiHidden/>
    <w:unhideWhenUsed/>
    <w:rsid w:val="0061693E"/>
    <w:rPr>
      <w:color w:val="605E5C"/>
      <w:shd w:val="clear" w:color="auto" w:fill="E1DFDD"/>
    </w:rPr>
  </w:style>
  <w:style w:type="paragraph" w:customStyle="1" w:styleId="BookSection">
    <w:name w:val="BookSection"/>
    <w:basedOn w:val="Normal"/>
    <w:pPr>
      <w:keepNext/>
      <w:spacing w:before="320" w:after="80"/>
      <w:ind w:firstLine="0"/>
    </w:pPr>
    <w:rPr>
      <w:rFonts w:ascii="Garamond" w:hAnsi="Garamond"/>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mazon.com/dp/B0FG1WRVBB" TargetMode="External"/><Relationship Id="rId18" Type="http://schemas.openxmlformats.org/officeDocument/2006/relationships/hyperlink" Target="https://www.amazon.com/Thinking-Web-Berners-Lee-G%C3%B6del-Turing/dp/0471768146?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6" Type="http://schemas.openxmlformats.org/officeDocument/2006/relationships/hyperlink" Target="https://doi.org/10.2475/ajs.s3-16.96.441" TargetMode="External"/><Relationship Id="rId39" Type="http://schemas.openxmlformats.org/officeDocument/2006/relationships/hyperlink" Target="https://doi.org/10.1063/1.1744102" TargetMode="External"/><Relationship Id="rId21" Type="http://schemas.openxmlformats.org/officeDocument/2006/relationships/hyperlink" Target="https://www.amazon.com/Video-Producing-Internet-Broadband-Technologies/dp/0201703149?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34" Type="http://schemas.openxmlformats.org/officeDocument/2006/relationships/hyperlink" Target="https://doi.org/10.1103/PhysRev.65.117" TargetMode="External"/><Relationship Id="rId42" Type="http://schemas.openxmlformats.org/officeDocument/2006/relationships/hyperlink" Target="https://doi.org/10.1063/1.1734338" TargetMode="External"/><Relationship Id="rId47" Type="http://schemas.openxmlformats.org/officeDocument/2006/relationships/hyperlink" Target="https://doi.org/10.1103/PhysRevB.4.3174" TargetMode="External"/><Relationship Id="rId50" Type="http://schemas.openxmlformats.org/officeDocument/2006/relationships/hyperlink" Target="https://doi.org/10.1103/RevModPhys.46.597" TargetMode="External"/><Relationship Id="rId55" Type="http://schemas.openxmlformats.org/officeDocument/2006/relationships/hyperlink" Target="https://doi.org/10.1038/nphys4037" TargetMode="External"/><Relationship Id="rId7" Type="http://schemas.openxmlformats.org/officeDocument/2006/relationships/hyperlink" Target="https://www.amazon.com/dp/B0FF2RXNSH" TargetMode="External"/><Relationship Id="rId2" Type="http://schemas.openxmlformats.org/officeDocument/2006/relationships/styles" Target="styles.xml"/><Relationship Id="rId16" Type="http://schemas.openxmlformats.org/officeDocument/2006/relationships/hyperlink" Target="https://www.amazon.com/dp/B0F8667YMW" TargetMode="External"/><Relationship Id="rId29" Type="http://schemas.openxmlformats.org/officeDocument/2006/relationships/hyperlink" Target="https://arxiv.org/abs/1612.03062" TargetMode="External"/><Relationship Id="rId11" Type="http://schemas.openxmlformats.org/officeDocument/2006/relationships/hyperlink" Target="https://www.amazon.com/dp/B0FKRHJNKV" TargetMode="External"/><Relationship Id="rId24" Type="http://schemas.openxmlformats.org/officeDocument/2006/relationships/image" Target="media/image2.svg"/><Relationship Id="rId32" Type="http://schemas.openxmlformats.org/officeDocument/2006/relationships/hyperlink" Target="https://doi.org/10.1007/BF02980577" TargetMode="External"/><Relationship Id="rId37" Type="http://schemas.openxmlformats.org/officeDocument/2006/relationships/hyperlink" Target="https://doi.org/10.1103/PhysRev.87.404" TargetMode="External"/><Relationship Id="rId40" Type="http://schemas.openxmlformats.org/officeDocument/2006/relationships/hyperlink" Target="https://jetp.ras.ru/cgi-bin/e/index/e/9/3/p571?a=list" TargetMode="External"/><Relationship Id="rId45" Type="http://schemas.openxmlformats.org/officeDocument/2006/relationships/hyperlink" Target="https://doi.org/10.1103/PhysicsPhysiqueFizika.2.263" TargetMode="External"/><Relationship Id="rId53" Type="http://schemas.openxmlformats.org/officeDocument/2006/relationships/hyperlink" Target="https://doi.org/10.1038/nphys4035" TargetMode="External"/><Relationship Id="rId58" Type="http://schemas.openxmlformats.org/officeDocument/2006/relationships/hyperlink" Target="https://doi.org/10.1103/PhysRevB.97.174435" TargetMode="External"/><Relationship Id="rId5" Type="http://schemas.openxmlformats.org/officeDocument/2006/relationships/hyperlink" Target="https://www.hpeteralesso.com/" TargetMode="External"/><Relationship Id="rId61" Type="http://schemas.openxmlformats.org/officeDocument/2006/relationships/fontTable" Target="fontTable.xml"/><Relationship Id="rId19" Type="http://schemas.openxmlformats.org/officeDocument/2006/relationships/hyperlink" Target="https://www.amazon.com/Developing-Semantic-Services-H-Peter-Alesso-ebook/dp/B07YYNL4KT?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14" Type="http://schemas.openxmlformats.org/officeDocument/2006/relationships/hyperlink" Target="https://www.amazon.com/dp/B0FCV28PMM" TargetMode="External"/><Relationship Id="rId22" Type="http://schemas.openxmlformats.org/officeDocument/2006/relationships/hyperlink" Target="http://www.hpeteralesso.com" TargetMode="External"/><Relationship Id="rId27" Type="http://schemas.openxmlformats.org/officeDocument/2006/relationships/hyperlink" Target="https://gallica.bnf.fr/ark:/12148/bpt6k3414331n.image" TargetMode="External"/><Relationship Id="rId30" Type="http://schemas.openxmlformats.org/officeDocument/2006/relationships/hyperlink" Target="https://doi.org/10.1140/epjst/e2016-60344-y" TargetMode="External"/><Relationship Id="rId35" Type="http://schemas.openxmlformats.org/officeDocument/2006/relationships/hyperlink" Target="https://doi.org/10.1063/1.1724033" TargetMode="External"/><Relationship Id="rId43" Type="http://schemas.openxmlformats.org/officeDocument/2006/relationships/hyperlink" Target="https://books.google.com/books/about/Lectures_in_Theoretical_Physics_Vol_7c.html?id=W6-lXwAACAAJ" TargetMode="External"/><Relationship Id="rId48" Type="http://schemas.openxmlformats.org/officeDocument/2006/relationships/hyperlink" Target="https://doi.org/10.1103/PhysRevLett.28.240" TargetMode="External"/><Relationship Id="rId56" Type="http://schemas.openxmlformats.org/officeDocument/2006/relationships/hyperlink" Target="https://doi.org/10.1103/PhysRevB.96.184410" TargetMode="External"/><Relationship Id="rId8" Type="http://schemas.openxmlformats.org/officeDocument/2006/relationships/hyperlink" Target="https://www.amazon.com/dp/B0FBR8B2W9" TargetMode="External"/><Relationship Id="rId51" Type="http://schemas.openxmlformats.org/officeDocument/2006/relationships/hyperlink" Target="https://doi.org/10.1103/PhysRevLett.47.1" TargetMode="External"/><Relationship Id="rId3" Type="http://schemas.openxmlformats.org/officeDocument/2006/relationships/settings" Target="settings.xml"/><Relationship Id="rId12" Type="http://schemas.openxmlformats.org/officeDocument/2006/relationships/hyperlink" Target="https://www.amazon.com/dp/B0FH5S9WQR" TargetMode="External"/><Relationship Id="rId17" Type="http://schemas.openxmlformats.org/officeDocument/2006/relationships/hyperlink" Target="https://www.amazon.com/Connections-Patterns-Discovery-Wiley-IEEE-ebook/dp/B0017T9E6O?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25" Type="http://schemas.openxmlformats.org/officeDocument/2006/relationships/hyperlink" Target="https://www.ai-hive.net/" TargetMode="External"/><Relationship Id="rId33" Type="http://schemas.openxmlformats.org/officeDocument/2006/relationships/hyperlink" Target="https://doi.org/10.1017/S0305004100019174" TargetMode="External"/><Relationship Id="rId38" Type="http://schemas.openxmlformats.org/officeDocument/2006/relationships/hyperlink" Target="https://doi.org/10.1103/PhysRev.87.410" TargetMode="External"/><Relationship Id="rId46" Type="http://schemas.openxmlformats.org/officeDocument/2006/relationships/hyperlink" Target="https://doi.org/10.1103/PhysRev.185.832" TargetMode="External"/><Relationship Id="rId59" Type="http://schemas.openxmlformats.org/officeDocument/2006/relationships/hyperlink" Target="https://doi.org/10.4007/annals.2021.194.1.3" TargetMode="External"/><Relationship Id="rId20" Type="http://schemas.openxmlformats.org/officeDocument/2006/relationships/hyperlink" Target="https://www.amazon.com/Intelligent-Wireless-Web-Peter-Alesso/dp/0201730634?ref_=ast_author_dp_rw&amp;dib=eyJ2IjoiMSJ9.PL9qoZpKEjkVUnUQYCo8gjOTGNvdhoYh3mBdDjp4RmhwBYORkKAtbsZ8ZG9fGPVAJCbVpES-Sz-vDHOYVEG0k7JJYtNNTNp1e6cmtQVEVZmxscnMrukGf9EfiPj4NMC8AsuevcHeJ0kXvoje8MrlbLoicsb1SDw66aQ-gheTweWb6ubN_5eesJOLhuz1k9OWOgIjzWmb9dBLXsiWHK18HMI_RS00unEqGXy_38AosVU.E8nXpnJ7EDYfNfzn56mnLQLoRb1LWR_gQRZ4KSi8jzs&amp;dib_tag=AUTHOR" TargetMode="External"/><Relationship Id="rId41" Type="http://schemas.openxmlformats.org/officeDocument/2006/relationships/hyperlink" Target="https://garfield.library.upenn.edu/histcomp/fisher-me_auth-citing/node/46.html" TargetMode="External"/><Relationship Id="rId54" Type="http://schemas.openxmlformats.org/officeDocument/2006/relationships/hyperlink" Target="https://doi.org/10.1103/PhysRevX.7.031038"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amazon.com/dp/B0FLSP5DM3" TargetMode="External"/><Relationship Id="rId15" Type="http://schemas.openxmlformats.org/officeDocument/2006/relationships/hyperlink" Target="https://www.amazon.com/dp/B0FCNB5VK9" TargetMode="External"/><Relationship Id="rId23" Type="http://schemas.openxmlformats.org/officeDocument/2006/relationships/image" Target="media/image1.png"/><Relationship Id="rId28" Type="http://schemas.openxmlformats.org/officeDocument/2006/relationships/hyperlink" Target="https://doi.org/10.1002/andp.18501550306" TargetMode="External"/><Relationship Id="rId36" Type="http://schemas.openxmlformats.org/officeDocument/2006/relationships/hyperlink" Target="https://doi.org/10.1103/PhysRev.85.808" TargetMode="External"/><Relationship Id="rId49" Type="http://schemas.openxmlformats.org/officeDocument/2006/relationships/hyperlink" Target="https://doi.org/10.1103/PhysRevLett.28.1516" TargetMode="External"/><Relationship Id="rId57" Type="http://schemas.openxmlformats.org/officeDocument/2006/relationships/hyperlink" Target="https://doi.org/10.1103/PhysRevE.98.022138" TargetMode="External"/><Relationship Id="rId10" Type="http://schemas.openxmlformats.org/officeDocument/2006/relationships/hyperlink" Target="https://www.amazon.com/dp/B0FJBD36BV" TargetMode="External"/><Relationship Id="rId31" Type="http://schemas.openxmlformats.org/officeDocument/2006/relationships/hyperlink" Target="https://doi.org/10.1016/B978-0-08-010586-4.50034-1" TargetMode="External"/><Relationship Id="rId44" Type="http://schemas.openxmlformats.org/officeDocument/2006/relationships/hyperlink" Target="https://doi.org/10.1063/1.1696618" TargetMode="External"/><Relationship Id="rId52" Type="http://schemas.openxmlformats.org/officeDocument/2006/relationships/hyperlink" Target="https://doi.org/10.1007/BF01213009" TargetMode="External"/><Relationship Id="rId60" Type="http://schemas.openxmlformats.org/officeDocument/2006/relationships/hyperlink" Target="https://doi.org/10.1103/PhysRevE.108.L032102" TargetMode="External"/><Relationship Id="rId4" Type="http://schemas.openxmlformats.org/officeDocument/2006/relationships/webSettings" Target="webSettings.xml"/><Relationship Id="rId9" Type="http://schemas.openxmlformats.org/officeDocument/2006/relationships/hyperlink" Target="https://www.amazon.com/dp/B0FP8KYXNF" TargetMode="External"/><Relationship Id="rId63" Type="http://schemas.openxmlformats.org/officeDocument/2006/relationships/hyperlink" Target="https://doi.org/10.1038/s41467-023-41496-z" TargetMode="External"/><Relationship Id="rId64" Type="http://schemas.openxmlformats.org/officeDocument/2006/relationships/hyperlink" Target="https://doi.org/10.1038/s41524-021-00575-9" TargetMode="External"/><Relationship Id="rId65" Type="http://schemas.openxmlformats.org/officeDocument/2006/relationships/hyperlink" Target="https://doi.org/10.1038/s41567-019-0565-x" TargetMode="External"/><Relationship Id="rId66" Type="http://schemas.openxmlformats.org/officeDocument/2006/relationships/hyperlink" Target="https://doi.org/10.1063/5.0013065" TargetMode="External"/><Relationship Id="rId67" Type="http://schemas.openxmlformats.org/officeDocument/2006/relationships/hyperlink" Target="https://doi.org/10.1038/s41467-023-41378-4" TargetMode="External"/><Relationship Id="rId68" Type="http://schemas.openxmlformats.org/officeDocument/2006/relationships/hyperlink" Target="https://doi.org/10.1126/sciadv.add3687" TargetMode="External"/><Relationship Id="rId69" Type="http://schemas.openxmlformats.org/officeDocument/2006/relationships/hyperlink" Target="https://doi.org/10.1038/s43586-022-00095-w" TargetMode="External"/><Relationship Id="rId70" Type="http://schemas.openxmlformats.org/officeDocument/2006/relationships/hyperlink" Target="https://doi.org/10.1038/s41467-020-19597-w" TargetMode="External"/><Relationship Id="rId71" Type="http://schemas.openxmlformats.org/officeDocument/2006/relationships/hyperlink" Target="https://doi.org/10.1088/2632-2153/abffe7" TargetMode="External"/><Relationship Id="rId72" Type="http://schemas.openxmlformats.org/officeDocument/2006/relationships/hyperlink" Target="https://doi.org/10.1103/PRXEnergy.3.011002" TargetMode="External"/><Relationship Id="rId73" Type="http://schemas.openxmlformats.org/officeDocument/2006/relationships/hyperlink" Target="https://doi.org/10.1038/s42256-022-00460-0" TargetMode="External"/><Relationship Id="rId74" Type="http://schemas.openxmlformats.org/officeDocument/2006/relationships/hyperlink" Target="https://doi.org/10.1016/j.patter.2023.100704" TargetMode="External"/><Relationship Id="rId75" Type="http://schemas.openxmlformats.org/officeDocument/2006/relationships/hyperlink" Target="https://doi.org/10.1038/s43588-021-00059-2" TargetMode="External"/><Relationship Id="rId76" Type="http://schemas.openxmlformats.org/officeDocument/2006/relationships/hyperlink" Target="https://doi.org/10.1038/s41524-019-0152-9" TargetMode="External"/><Relationship Id="rId77" Type="http://schemas.openxmlformats.org/officeDocument/2006/relationships/hyperlink" Target="https://doi.org/10.1088/2632-2153/abab61" TargetMode="External"/><Relationship Id="rId78" Type="http://schemas.openxmlformats.org/officeDocument/2006/relationships/hyperlink" Target="https://doi.org/10.1103/PhysRevResearch.5.013026" TargetMode="External"/><Relationship Id="rId79" Type="http://schemas.openxmlformats.org/officeDocument/2006/relationships/hyperlink" Target="https://doi.org/10.1038/s41598-020-74394-1" TargetMode="External"/><Relationship Id="rId80" Type="http://schemas.openxmlformats.org/officeDocument/2006/relationships/hyperlink" Target="https://doi.org/10.1038/s41598-019-48114-3" TargetMode="External"/><Relationship Id="rId81" Type="http://schemas.openxmlformats.org/officeDocument/2006/relationships/hyperlink" Target="https://doi.org/10.1038/s42254-021-00345-y" TargetMode="External"/><Relationship Id="rId82" Type="http://schemas.openxmlformats.org/officeDocument/2006/relationships/hyperlink" Target="https://doi.org/10.1038/s41524-019-0196-x" TargetMode="External"/><Relationship Id="rId83" Type="http://schemas.openxmlformats.org/officeDocument/2006/relationships/hyperlink" Target="https://doi.org/10.1107/S205225251700714X" TargetMode="External"/><Relationship Id="rId84" Type="http://schemas.openxmlformats.org/officeDocument/2006/relationships/hyperlink" Target="https://doi.org/10.1038/s41567-019-0554-0" TargetMode="External"/><Relationship Id="rId85" Type="http://schemas.openxmlformats.org/officeDocument/2006/relationships/hyperlink" Target="https://doi.org/10.1021/acsnano.1c11118" TargetMode="External"/><Relationship Id="rId86" Type="http://schemas.openxmlformats.org/officeDocument/2006/relationships/hyperlink" Target="https://doi.org/10.1038/s41467-020-14660-y" TargetMode="External"/><Relationship Id="rId87" Type="http://schemas.openxmlformats.org/officeDocument/2006/relationships/hyperlink" Target="https://doi.org/10.1016/j.matt.2021.06.036" TargetMode="External"/><Relationship Id="rId88" Type="http://schemas.openxmlformats.org/officeDocument/2006/relationships/hyperlink" Target="https://doi.org/10.1021/acs.chemmater.1c01071" TargetMode="External"/><Relationship Id="rId89" Type="http://schemas.openxmlformats.org/officeDocument/2006/relationships/hyperlink" Target="https://doi.org/10.1038/s41586-023-06734-w" TargetMode="External"/><Relationship Id="rId90" Type="http://schemas.openxmlformats.org/officeDocument/2006/relationships/hyperlink" Target="https://doi.org/10.1021/acsnano.7b0750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15</Pages>
  <Words>6924</Words>
  <Characters>39473</Characters>
  <Application>Microsoft Office Word</Application>
  <DocSecurity>0</DocSecurity>
  <Lines>328</Lines>
  <Paragraphs>92</Paragraphs>
  <ScaleCrop>false</ScaleCrop>
  <Company/>
  <LinksUpToDate>false</LinksUpToDate>
  <CharactersWithSpaces>46305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Alesso</dc:creator>
  <cp:keywords/>
  <dc:description/>
  <cp:lastModifiedBy>Harry Alesso</cp:lastModifiedBy>
  <cp:revision>8</cp:revision>
  <dcterms:created xsi:type="dcterms:W3CDTF">2026-08-23T17:29:00Z</dcterms:created>
  <dcterms:modified xsi:type="dcterms:W3CDTF">2026-08-23T18:20:00Z</dcterms:modified>
</cp:coreProperties>
</file>