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15</w:t>
      </w:r>
    </w:p>
    <w:p>
      <w:pPr>
        <w:pStyle w:val="Heading1"/>
      </w:pPr>
      <w:r>
        <w:t>Phase Diagrams at Scale</w:t>
      </w:r>
    </w:p>
    <w:p>
      <w:pPr>
        <w:pStyle w:val="BookSection"/>
      </w:pPr>
      <w:r>
        <w:t>A phase diagram made of total energies</w:t>
      </w:r>
    </w:p>
    <w:p>
      <w:r>
        <w:rPr>
          <w:i w:val="0"/>
        </w:rPr>
        <w:t>In 2008 Shyue Ping Ong, Lei Wang, Byoungwoo Kang and Gerbrand Ceder published the phase diagram of the Li-Fe-P-O2 system without using a single measured enthalpy. The inputs were density functional theory total energies for a few hundred candidate compounds. The output was the object a metallurgist would previously have assembled from calorimetry and quenched samples: a map of which phases coexist at which composition, and at which oxygen chemical potential. It is the methodological ancestor of every computed phase diagram now served by the Materials Project, and worth writing down exactly, because the rest of this chapter is an argument about what that construction does and does not certify.</w:t>
      </w:r>
    </w:p>
    <w:p>
      <w:r>
        <w:rPr>
          <w:i w:val="0"/>
        </w:rPr>
        <w:t xml:space="preserve">Fix a chemical system with elements indexed by </w:t>
      </w:r>
      <m:oMath>
        <m:r>
          <m:t>i</m:t>
        </m:r>
      </m:oMath>
      <w:r>
        <w:rPr>
          <w:i w:val="0"/>
        </w:rPr>
        <w:t xml:space="preserve">. For a compound with </w:t>
      </w:r>
      <m:oMath>
        <m:sSub>
          <m:e>
            <m:r>
              <m:t>n</m:t>
            </m:r>
          </m:e>
          <m:sub>
            <m:r>
              <m:t>i</m:t>
            </m:r>
          </m:sub>
        </m:sSub>
      </m:oMath>
      <w:r>
        <w:rPr>
          <w:i w:val="0"/>
        </w:rPr>
        <w:t xml:space="preserve"> atoms of each element and total energy </w:t>
      </w:r>
      <m:oMath>
        <m:r>
          <m:t>E</m:t>
        </m:r>
      </m:oMath>
      <w:r>
        <w:rPr>
          <w:i w:val="0"/>
        </w:rPr>
        <w:t>, the formation energy per atom is</w:t>
      </w:r>
    </w:p>
    <w:p>
      <w:pPr>
        <w:spacing w:before="200" w:after="200"/>
        <w:ind w:firstLine="0"/>
        <w:jc w:val="center"/>
        <w:contextualSpacing w:val="0"/>
      </w:pPr>
      <m:oMath>
        <m:r>
          <m:t>Δ</m:t>
        </m:r>
        <m:sSub>
          <m:e>
            <m:r>
              <m:t>H</m:t>
            </m:r>
          </m:e>
          <m:sub>
            <m:r>
              <m:t>f</m:t>
            </m:r>
          </m:sub>
        </m:sSub>
        <m:r>
          <m:t>=</m:t>
        </m:r>
        <m:f>
          <m:fPr>
            <m:type m:val="bar"/>
          </m:fPr>
          <m:num>
            <m:r>
              <m:t>1</m:t>
            </m:r>
          </m:num>
          <m:den>
            <m:nary>
              <m:naryPr>
                <m:chr m:val="∑"/>
                <m:limLoc m:val="subSup"/>
                <m:grow m:val="1"/>
                <m:subHide m:val="off"/>
                <m:supHide m:val="on"/>
              </m:naryPr>
              <m:sub>
                <m:r>
                  <m:t>i</m:t>
                </m:r>
              </m:sub>
              <m:sup/>
              <m:e>
                <m:sSub>
                  <m:e>
                    <m:r>
                      <m:t>n</m:t>
                    </m:r>
                  </m:e>
                  <m:sub>
                    <m:r>
                      <m:t>i</m:t>
                    </m:r>
                  </m:sub>
                </m:sSub>
              </m:e>
            </m:nary>
          </m:den>
        </m:f>
        <m:d>
          <m:dPr>
            <m:sepChr m:val="−"/>
          </m:dPr>
          <m:e>
            <m:r>
              <m:t>E</m:t>
            </m:r>
          </m:e>
          <m:e>
            <m:nary>
              <m:naryPr>
                <m:chr m:val="∑"/>
                <m:limLoc m:val="subSup"/>
                <m:grow m:val="1"/>
                <m:subHide m:val="off"/>
                <m:supHide m:val="on"/>
              </m:naryPr>
              <m:sub>
                <m:r>
                  <m:t>i</m:t>
                </m:r>
              </m:sub>
              <m:sup/>
              <m:e>
                <m:sSub>
                  <m:e>
                    <m:r>
                      <m:t>n</m:t>
                    </m:r>
                  </m:e>
                  <m:sub>
                    <m:r>
                      <m:t>i</m:t>
                    </m:r>
                  </m:sub>
                </m:sSub>
              </m:e>
            </m:nary>
            <m:sSubSup>
              <m:e>
                <m:r>
                  <m:t>μ</m:t>
                </m:r>
              </m:e>
              <m:sub>
                <m:r>
                  <m:t>i</m:t>
                </m:r>
              </m:sub>
              <m:sup>
                <m:r>
                  <m:t>0</m:t>
                </m:r>
              </m:sup>
            </m:sSubSup>
          </m:e>
        </m:d>
        <m:r>
          <m:t>,</m:t>
        </m:r>
      </m:oMath>
    </w:p>
    <w:p>
      <w:r>
        <w:rPr>
          <w:i w:val="0"/>
        </w:rPr>
        <w:t xml:space="preserve">where </w:t>
      </w:r>
      <m:oMath>
        <m:sSubSup>
          <m:e>
            <m:r>
              <m:t>μ</m:t>
            </m:r>
          </m:e>
          <m:sub>
            <m:r>
              <m:t>i</m:t>
            </m:r>
          </m:sub>
          <m:sup>
            <m:r>
              <m:t>0</m:t>
            </m:r>
          </m:sup>
        </m:sSubSup>
      </m:oMath>
      <w:r>
        <w:rPr>
          <w:i w:val="0"/>
        </w:rPr>
        <w:t xml:space="preserve"> is the energy per atom of element </w:t>
      </w:r>
      <m:oMath>
        <m:r>
          <m:t>i</m:t>
        </m:r>
      </m:oMath>
      <w:r>
        <w:rPr>
          <w:i w:val="0"/>
        </w:rPr>
        <w:t xml:space="preserve"> in its reference elemental phase. Now let </w:t>
      </w:r>
      <m:oMath>
        <m:r>
          <m:t>𝒟</m:t>
        </m:r>
      </m:oMath>
      <w:r>
        <w:rPr>
          <w:i w:val="0"/>
        </w:rPr>
        <w:t xml:space="preserve"> be the set of compounds whose energies have actually been calculated, which is the contents of a database rather than the contents of the world. Plot </w:t>
      </w:r>
      <m:oMath>
        <m:r>
          <m:t>Δ</m:t>
        </m:r>
        <m:sSub>
          <m:e>
            <m:r>
              <m:t>H</m:t>
            </m:r>
          </m:e>
          <m:sub>
            <m:r>
              <m:t>f</m:t>
            </m:r>
          </m:sub>
        </m:sSub>
      </m:oMath>
      <w:r>
        <w:rPr>
          <w:i w:val="0"/>
        </w:rPr>
        <w:t xml:space="preserve"> against composition, one point per member of </w:t>
      </w:r>
      <m:oMath>
        <m:r>
          <m:t>𝒟</m:t>
        </m:r>
      </m:oMath>
      <w:r>
        <w:rPr>
          <w:i w:val="0"/>
        </w:rPr>
        <w:t xml:space="preserve">, and take the lower convex hull of the point set. Write </w:t>
      </w:r>
      <m:oMath>
        <m:sSub>
          <m:e>
            <m:acc>
              <m:accPr>
                <m:chr m:val="̂"/>
              </m:accPr>
              <m:e>
                <m:r>
                  <m:t>H</m:t>
                </m:r>
              </m:e>
            </m:acc>
          </m:e>
          <m:sub>
            <m:r>
              <m:t>𝒟</m:t>
            </m:r>
          </m:sub>
        </m:sSub>
        <m:r>
          <m:t>(x)</m:t>
        </m:r>
      </m:oMath>
      <w:r>
        <w:rPr>
          <w:i w:val="0"/>
        </w:rPr>
        <w:t xml:space="preserve"> for the height of that hull at composition </w:t>
      </w:r>
      <m:oMath>
        <m:r>
          <m:t>x</m:t>
        </m:r>
      </m:oMath>
      <w:r>
        <w:rPr>
          <w:i w:val="0"/>
        </w:rPr>
        <w:t xml:space="preserve">. For any compound </w:t>
      </w:r>
      <m:oMath>
        <m:r>
          <m:t>c</m:t>
        </m:r>
      </m:oMath>
      <w:r>
        <w:rPr>
          <w:i w:val="0"/>
        </w:rPr>
        <w:t xml:space="preserve"> at composition </w:t>
      </w:r>
      <m:oMath>
        <m:sSub>
          <m:e>
            <m:r>
              <m:t>x</m:t>
            </m:r>
          </m:e>
          <m:sub>
            <m:r>
              <m:t>c</m:t>
            </m:r>
          </m:sub>
        </m:sSub>
      </m:oMath>
      <w:r>
        <w:rPr>
          <w:i w:val="0"/>
        </w:rPr>
        <w:t>,</w:t>
      </w:r>
    </w:p>
    <w:p>
      <w:pPr>
        <w:spacing w:before="200" w:after="200"/>
        <w:ind w:firstLine="0"/>
        <w:jc w:val="center"/>
        <w:contextualSpacing w:val="0"/>
      </w:pPr>
      <m:oMath>
        <m:sSub>
          <m:e>
            <m:r>
              <m:t>E</m:t>
            </m:r>
          </m:e>
          <m:sub>
            <m:r>
              <m:rPr>
                <m:sty m:val="p"/>
              </m:rPr>
              <m:t>hull</m:t>
            </m:r>
          </m:sub>
        </m:sSub>
        <m:r>
          <m:t>(c)=Δ</m:t>
        </m:r>
        <m:sSub>
          <m:e>
            <m:r>
              <m:t>H</m:t>
            </m:r>
          </m:e>
          <m:sub>
            <m:r>
              <m:t>f</m:t>
            </m:r>
          </m:sub>
        </m:sSub>
        <m:r>
          <m:t>(c)−</m:t>
        </m:r>
        <m:sSub>
          <m:e>
            <m:acc>
              <m:accPr>
                <m:chr m:val="̂"/>
              </m:accPr>
              <m:e>
                <m:r>
                  <m:t>H</m:t>
                </m:r>
              </m:e>
            </m:acc>
          </m:e>
          <m:sub>
            <m:r>
              <m:t>𝒟</m:t>
            </m:r>
          </m:sub>
        </m:sSub>
        <m:r>
          <m:t>(</m:t>
        </m:r>
        <m:sSub>
          <m:e>
            <m:r>
              <m:t>x</m:t>
            </m:r>
          </m:e>
          <m:sub>
            <m:r>
              <m:t>c</m:t>
            </m:r>
          </m:sub>
        </m:sSub>
        <m:r>
          <m:t>).</m:t>
        </m:r>
      </m:oMath>
    </w:p>
    <w:p>
      <w:r>
        <w:rPr>
          <w:i w:val="0"/>
        </w:rPr>
        <w:t xml:space="preserve">If </w:t>
      </w:r>
      <m:oMath>
        <m:r>
          <m:t>c</m:t>
        </m:r>
      </m:oMath>
      <w:r>
        <w:rPr>
          <w:i w:val="0"/>
        </w:rPr>
        <w:t xml:space="preserve"> is itself a member of </w:t>
      </w:r>
      <m:oMath>
        <m:r>
          <m:t>𝒟</m:t>
        </m:r>
      </m:oMath>
      <w:r>
        <w:rPr>
          <w:i w:val="0"/>
        </w:rPr>
        <w:t xml:space="preserve">, this quantity cannot be negative, because the hull is the lower envelope of a set that already contains the point; it is then the decomposition energy, and the facet directly beneath names the mixture the compound falls apart into. If </w:t>
      </w:r>
      <m:oMath>
        <m:r>
          <m:t>c</m:t>
        </m:r>
      </m:oMath>
      <w:r>
        <w:rPr>
          <w:i w:val="0"/>
        </w:rPr>
        <w:t xml:space="preserve"> is not a member, the quantity carries a sign, and a negative value is the only thing the phrase below the hull ever means: below the envelope of what has already been computed. A candidate found there is stable against every competitor in the database, and entering it into </w:t>
      </w:r>
      <m:oMath>
        <m:r>
          <m:t>𝒟</m:t>
        </m:r>
      </m:oMath>
      <w:r>
        <w:rPr>
          <w:i w:val="0"/>
        </w:rPr>
        <w:t xml:space="preserve"> redraws the hull, lifting off every compound that sat on the facet the newcomer undercut. In two components the construction reduces to the familiar common-tangent condition; in </w:t>
      </w:r>
      <m:oMath>
        <m:r>
          <m:t>k</m:t>
        </m:r>
      </m:oMath>
      <w:r>
        <w:rPr>
          <w:i w:val="0"/>
        </w:rPr>
        <w:t xml:space="preserve"> components, a facet spanned by </w:t>
      </w:r>
      <m:oMath>
        <m:r>
          <m:t>k</m:t>
        </m:r>
      </m:oMath>
      <w:r>
        <w:rPr>
          <w:i w:val="0"/>
        </w:rPr>
        <w:t xml:space="preserve"> vertices is a </w:t>
      </w:r>
      <m:oMath>
        <m:r>
          <m:t>k</m:t>
        </m:r>
      </m:oMath>
      <w:r>
        <w:rPr>
          <w:i w:val="0"/>
        </w:rPr>
        <w:t>-phase coexistence region, the Gibbs phase rule recovered as a statement about geometry.</w:t>
      </w:r>
    </w:p>
    <w:p>
      <w:r>
        <w:rPr>
          <w:i w:val="0"/>
        </w:rPr>
        <w:t xml:space="preserve">Oxygen is not a fixed component in a battery cathode, and Ong and colleagues handled that by a Legendre transform. Exchanging oxygen with a reservoir at chemical potential </w:t>
      </w:r>
      <m:oMath>
        <m:sSub>
          <m:e>
            <m:r>
              <m:t>μ</m:t>
            </m:r>
          </m:e>
          <m:sub>
            <m:r>
              <m:t>O</m:t>
            </m:r>
          </m:sub>
        </m:sSub>
      </m:oMath>
      <w:r>
        <w:rPr>
          <w:i w:val="0"/>
        </w:rPr>
        <w:t xml:space="preserve"> replaces the energy with the grand potential </w:t>
      </w:r>
      <m:oMath>
        <m:r>
          <m:t>ϕ=E−</m:t>
        </m:r>
        <m:sSub>
          <m:e>
            <m:r>
              <m:t>μ</m:t>
            </m:r>
          </m:e>
          <m:sub>
            <m:r>
              <m:t>O</m:t>
            </m:r>
          </m:sub>
        </m:sSub>
        <m:sSub>
          <m:e>
            <m:r>
              <m:t>n</m:t>
            </m:r>
          </m:e>
          <m:sub>
            <m:r>
              <m:t>O</m:t>
            </m:r>
          </m:sub>
        </m:sSub>
      </m:oMath>
      <w:r>
        <w:rPr>
          <w:i w:val="0"/>
        </w:rPr>
        <w:t xml:space="preserve">, and rebuilding the hull in the remaining composition variables at each value of </w:t>
      </w:r>
      <m:oMath>
        <m:sSub>
          <m:e>
            <m:r>
              <m:t>μ</m:t>
            </m:r>
          </m:e>
          <m:sub>
            <m:r>
              <m:t>O</m:t>
            </m:r>
          </m:sub>
        </m:sSub>
      </m:oMath>
      <w:r>
        <w:rPr>
          <w:i w:val="0"/>
        </w:rPr>
        <w:t xml:space="preserve"> gives a family of diagrams parameterized by oxidizing conditions, which is how the method could speak to what a lithium iron phosphate cathode does when heated in air.</w:t>
      </w:r>
    </w:p>
    <w:p>
      <w:r>
        <w:rPr>
          <w:i w:val="0"/>
        </w:rPr>
        <w:t>Strict hull membership is too severe a criterion for practice, since many industrially useful materials are metastable, so practitioners admit compounds within some tolerance above the hull. That tolerance is chosen rather than derived, and widening it converts a stability claim into a claim about kinetic persistence, which the construction does not address at all.</w:t>
      </w:r>
    </w:p>
    <w:p>
      <w:r>
        <w:rPr>
          <w:i w:val="0"/>
        </w:rPr>
        <w:t xml:space="preserve">Two properties of the construction matter later. The first is visible in the subscript on </w:t>
      </w:r>
      <m:oMath>
        <m:sSub>
          <m:e>
            <m:acc>
              <m:accPr>
                <m:chr m:val="̂"/>
              </m:accPr>
              <m:e>
                <m:r>
                  <m:t>H</m:t>
                </m:r>
              </m:e>
            </m:acc>
          </m:e>
          <m:sub>
            <m:r>
              <m:t>𝒟</m:t>
            </m:r>
          </m:sub>
        </m:sSub>
      </m:oMath>
      <w:r>
        <w:rPr>
          <w:i w:val="0"/>
        </w:rPr>
        <w:t>: stability is not a property of a compound but a joint property of a compound and a list of competitors, and the list is whatever happens to be in the database. Add one previously uncomputed phase and a compound on the hull can be lifted off it, without anything about that compound having changed. The second is that these are zero-temperature energies. Vibrational free energy is absent, configurational entropy is absent, and a compound that exists only because of site disorder cannot appear on this hull at all. Both will do damage before the chapter ends.</w:t>
      </w:r>
    </w:p>
    <w:p>
      <w:pPr>
        <w:pStyle w:val="BookSection"/>
      </w:pPr>
      <w:r>
        <w:t>Turning the construction into infrastructure</w:t>
      </w:r>
    </w:p>
    <w:p>
      <w:r>
        <w:rPr>
          <w:i w:val="0"/>
        </w:rPr>
        <w:t>Three databases industrialized the calculation. The Materials Project, described in a 2013 commentary in APL Materials with Anubhav Jain as lead author and Kristin A. Persson as founding director, wrapped high-throughput density functional theory around exactly the hull construction above and exposed the resulting phase diagrams through a public interface. The Open Quantum Materials Database, launched at Northwestern University the same year by James E. Saal, Scott Kirklin, Muratahan Aykol, Bryce Meredig and C. Wolverton, took the same approach with more emphasis on intermetallics, and its current release reports 1,407,395 materials. AFLOW, led by Stefano Curtarolo at Duke and described in 2012, contributed the standardized workflow machinery that made such volumes reproducible.</w:t>
      </w:r>
    </w:p>
    <w:p>
      <w:r>
        <w:rPr>
          <w:i w:val="0"/>
        </w:rPr>
        <w:t>Scott Kirklin and colleagues then measured, in 2015, how good the numbers were. Comparing OQMD formation energies against experimental thermochemistry gave a mean absolute error of 0.096 eV per atom; comparing independent experimental determinations of the same quantities against each other gave 0.082 eV per atom. The reading is not that theory and experiment agree, nor that the calculation is as good as measurement, but that the discrepancy between calculation and experiment is comparable to, and somewhat larger than, the scatter among experiments. Roughly 0.1 eV per atom is the practical floor below which a stability claim built on these databases cannot be resolved against the world, and decomposition energies of interest are frequently tens of meV per atom.</w:t>
      </w:r>
    </w:p>
    <w:p>
      <w:r>
        <w:rPr>
          <w:i w:val="0"/>
        </w:rPr>
        <w:t>None of this arrived in an empty field. CALPHAD had been producing multicomponent phase diagrams from assessed thermodynamic models for decades, and Larry Kaufman, its originator, writing with John Ågren in 2014, framed the method as the true birth of the materials genome; Zi-Kui Liu's 2023 review sets out where its boundary with first-principles calculation and machine learning now sits. A CALPHAD assessment writes the Gibbs energy of each phase as an explicit function of temperature and composition, with a reference term, an ideal mixing entropy, and an excess term fitted to measured phase boundaries and thermochemistry; solid solutions with mixed occupancy are represented by sublattice models in which several species share a crystallographic site. Phase equilibria follow by minimizing the total Gibbs energy at a given temperature and composition, and the output is a diagram with temperature on an axis, which the convex hull of formation energies is not. CALPHAD models temperature and disorder because the phase diagrams it was built to reproduce require them; the zero-kelvin hull does not, and the consequences of that omission become a concrete experimental dispute later in this chapter.</w:t>
      </w:r>
    </w:p>
    <w:p>
      <w:pPr>
        <w:pStyle w:val="BookSection"/>
      </w:pPr>
      <w:r>
        <w:t>Formation energy accuracy is not stability accuracy</w:t>
      </w:r>
    </w:p>
    <w:p>
      <w:r>
        <w:rPr>
          <w:i w:val="0"/>
        </w:rPr>
        <w:t>In 2020 Christopher J. Bartel, Amalie Trewartha, Qi Wang, Alexander Dunn, Anubhav Jain and Gerbrand Ceder benchmarked seven machine learning models on 85,014 compositions drawn from the Materials Project and reported a result that should have governed everything after it. Low error on formation energy does not imply correct classification of stability. Composition-only models, which build a feature vector from statistics of elemental properties, perform poorly at predicting the stability of compounds even when their formation-energy errors look respectable; models that see the structure substantially outperform them, and the gap widens in sparsely populated regions of chemical space.</w:t>
      </w:r>
    </w:p>
    <w:p>
      <w:r>
        <w:rPr>
          <w:i w:val="0"/>
        </w:rPr>
        <w:t xml:space="preserve">The mechanism is arithmetic, and it is not a statement about neural networks in particular. Expand the hull height at </w:t>
      </w:r>
      <m:oMath>
        <m:sSub>
          <m:e>
            <m:r>
              <m:t>x</m:t>
            </m:r>
          </m:e>
          <m:sub>
            <m:r>
              <m:t>c</m:t>
            </m:r>
          </m:sub>
        </m:sSub>
      </m:oMath>
      <w:r>
        <w:rPr>
          <w:i w:val="0"/>
        </w:rPr>
        <w:t xml:space="preserve"> in terms of the phases </w:t>
      </w:r>
      <m:oMath>
        <m:r>
          <m:t>p</m:t>
        </m:r>
      </m:oMath>
      <w:r>
        <w:rPr>
          <w:i w:val="0"/>
        </w:rPr>
        <w:t xml:space="preserve"> spanning the facet beneath it, with coefficients </w:t>
      </w:r>
      <m:oMath>
        <m:sSub>
          <m:e>
            <m:r>
              <m:t>x</m:t>
            </m:r>
          </m:e>
          <m:sub>
            <m:r>
              <m:t>p</m:t>
            </m:r>
          </m:sub>
        </m:sSub>
      </m:oMath>
      <w:r>
        <w:rPr>
          <w:i w:val="0"/>
        </w:rPr>
        <w:t xml:space="preserve"> fixed by composition balance:</w:t>
      </w:r>
    </w:p>
    <w:p>
      <w:pPr>
        <w:spacing w:before="200" w:after="200"/>
        <w:ind w:firstLine="0"/>
        <w:jc w:val="center"/>
        <w:contextualSpacing w:val="0"/>
      </w:pPr>
      <m:oMath>
        <m:sSub>
          <m:e>
            <m:r>
              <m:t>E</m:t>
            </m:r>
          </m:e>
          <m:sub>
            <m:r>
              <m:rPr>
                <m:sty m:val="p"/>
              </m:rPr>
              <m:t>hull</m:t>
            </m:r>
          </m:sub>
        </m:sSub>
        <m:r>
          <m:t>(c)=Δ</m:t>
        </m:r>
        <m:sSub>
          <m:e>
            <m:r>
              <m:t>H</m:t>
            </m:r>
          </m:e>
          <m:sub>
            <m:r>
              <m:t>f</m:t>
            </m:r>
          </m:sub>
        </m:sSub>
        <m:r>
          <m:t>(c)−</m:t>
        </m:r>
        <m:nary>
          <m:naryPr>
            <m:chr m:val="∑"/>
            <m:limLoc m:val="subSup"/>
            <m:grow m:val="1"/>
            <m:subHide m:val="off"/>
            <m:supHide m:val="on"/>
          </m:naryPr>
          <m:sub>
            <m:r>
              <m:t>p</m:t>
            </m:r>
          </m:sub>
          <m:sup/>
          <m:e>
            <m:sSub>
              <m:e>
                <m:r>
                  <m:t>x</m:t>
                </m:r>
              </m:e>
              <m:sub>
                <m:r>
                  <m:t>p</m:t>
                </m:r>
              </m:sub>
            </m:sSub>
          </m:e>
        </m:nary>
        <m:r>
          <m:t>Δ</m:t>
        </m:r>
        <m:sSub>
          <m:e>
            <m:r>
              <m:t>H</m:t>
            </m:r>
          </m:e>
          <m:sub>
            <m:r>
              <m:t>f</m:t>
            </m:r>
          </m:sub>
        </m:sSub>
        <m:r>
          <m:t>(p).</m:t>
        </m:r>
      </m:oMath>
    </w:p>
    <w:p>
      <w:r>
        <w:rPr>
          <w:i w:val="0"/>
        </w:rPr>
        <w:t xml:space="preserve">A model with mean absolute error </w:t>
      </w:r>
      <m:oMath>
        <m:r>
          <m:t>ε</m:t>
        </m:r>
      </m:oMath>
      <w:r>
        <w:rPr>
          <w:i w:val="0"/>
        </w:rPr>
        <w:t xml:space="preserve"> on </w:t>
      </w:r>
      <m:oMath>
        <m:r>
          <m:t>Δ</m:t>
        </m:r>
        <m:sSub>
          <m:e>
            <m:r>
              <m:t>H</m:t>
            </m:r>
          </m:e>
          <m:sub>
            <m:r>
              <m:t>f</m:t>
            </m:r>
          </m:sub>
        </m:sSub>
      </m:oMath>
      <w:r>
        <w:rPr>
          <w:i w:val="0"/>
        </w:rPr>
        <w:t xml:space="preserve"> does not have error </w:t>
      </w:r>
      <m:oMath>
        <m:r>
          <m:t>ε</m:t>
        </m:r>
      </m:oMath>
      <w:r>
        <w:rPr>
          <w:i w:val="0"/>
        </w:rPr>
        <w:t xml:space="preserve"> on </w:t>
      </w:r>
      <m:oMath>
        <m:sSub>
          <m:e>
            <m:r>
              <m:t>E</m:t>
            </m:r>
          </m:e>
          <m:sub>
            <m:r>
              <m:rPr>
                <m:sty m:val="p"/>
              </m:rPr>
              <m:t>hull</m:t>
            </m:r>
          </m:sub>
        </m:sSub>
      </m:oMath>
      <w:r>
        <w:rPr>
          <w:i w:val="0"/>
        </w:rPr>
        <w:t xml:space="preserve">. Its error is built from </w:t>
      </w:r>
      <m:oMath>
        <m:r>
          <m:t>ε</m:t>
        </m:r>
      </m:oMath>
      <w:r>
        <w:rPr>
          <w:i w:val="0"/>
        </w:rPr>
        <w:t xml:space="preserve"> at the compound and </w:t>
      </w:r>
      <m:oMath>
        <m:r>
          <m:t>ε</m:t>
        </m:r>
      </m:oMath>
      <w:r>
        <w:rPr>
          <w:i w:val="0"/>
        </w:rPr>
        <w:t xml:space="preserve"> at each competing phase, and whether those contributions add or cancel depends on whether they are correlated across chemically similar compositions. Formation energies span several eV per atom, so a model can achieve a small relative error by learning the elemental reference offsets, the dominant variation, while learning nothing about the tens of meV per atom separating a compound from its own decomposition products. Composition-only models fail in a further way: for a fixed formula they emit one number, so they cannot represent the energy difference between two polymorphs, which is precisely the scale deciding hull membership. The failure is sharpest in sparse chemical spaces, where the facet beneath a candidate is spanned by few and unfamiliar phases and no averaging over a well-sampled neighbourhood rescues the estimate.</w:t>
      </w:r>
    </w:p>
    <w:p>
      <w:r>
        <w:rPr>
          <w:i w:val="0"/>
        </w:rPr>
        <w:t xml:space="preserve">Matbench Discovery, from Janosh Riebesell, Rhys E. A. Goodall, Philipp Benner, Yuan Chiang, Bowen Deng, Gerbrand Ceder, Mark Asta, Alpha A. Lee, Anubhav Jain and Kristin A. Persson, turned that caution into a standing evaluation, circulating as a preprint from 2023 and published in Nature Machine Intelligence in 2025. Its central point is a misalignment: mean absolute error on energy, the metric the field reports, is not the metric that decides whether a screening campaign succeeds. Discovery is a classification problem. Each candidate is scored against a hull built without it, so its </w:t>
      </w:r>
      <m:oMath>
        <m:sSub>
          <m:e>
            <m:r>
              <m:t>E</m:t>
            </m:r>
          </m:e>
          <m:sub>
            <m:r>
              <m:rPr>
                <m:sty m:val="p"/>
              </m:rPr>
              <m:t>hull</m:t>
            </m:r>
          </m:sub>
        </m:sSub>
      </m:oMath>
      <w:r>
        <w:rPr>
          <w:i w:val="0"/>
        </w:rPr>
        <w:t xml:space="preserve"> carries a sign and the decision boundary is </w:t>
      </w:r>
      <m:oMath>
        <m:sSub>
          <m:e>
            <m:r>
              <m:t>E</m:t>
            </m:r>
          </m:e>
          <m:sub>
            <m:r>
              <m:rPr>
                <m:sty m:val="p"/>
              </m:rPr>
              <m:t>hull</m:t>
            </m:r>
          </m:sub>
        </m:sSub>
        <m:r>
          <m:t>=0</m:t>
        </m:r>
      </m:oMath>
      <w:r>
        <w:rPr>
          <w:i w:val="0"/>
        </w:rPr>
        <w:t>, and what matters is precision and recall on the stable class. A model can win on mean absolute error and lose on precision, because the stable class is rare: most of a regression metric's mass sits on compounds far above the hull, where being wrong by 100 meV per atom costs nothing, while the classification depends entirely on the small population near the boundary, where the same error flips the label. The two errors are unequal in consequence too, since a false positive is a wasted synthesis attempt, cheap and self-correcting, while a false negative is a material never attempted and never noticed. The benchmark's own conclusion was affirmative: universal interatomic potentials have advanced far enough to serve as cheap pre-screening for hypothetical stable materials. That is a claim about cost, and the question pressed here is what the cost reduction buys.</w:t>
      </w:r>
    </w:p>
    <w:p>
      <w:pPr>
        <w:pStyle w:val="BookSection"/>
      </w:pPr>
      <w:r>
        <w:t>Surrogates for the calculation</w:t>
      </w:r>
    </w:p>
    <w:p>
      <w:r>
        <w:rPr>
          <w:i w:val="0"/>
        </w:rPr>
        <w:t>The representation that made learning on crystals work came from Tian Xie and Jeffrey C. Grossman in 2018. A crystal graph convolutional neural network encodes a periodic structure as a multigraph: atoms are nodes carrying elemental feature vectors, and edges connect an atom to the periodic images of its neighbours within a cutoff, each carrying a distance expansion. Convolutions update node vectors by pooling over incident edges, and a final pooling over nodes yields a fixed-length crystal vector regressed onto a target property, invariant to the choice of unit cell, to permutation of identical atoms and to rigid motions, which are the symmetries a crystal property must respect. Essentially every subsequent deep model of inorganic crystals inherits it.</w:t>
      </w:r>
    </w:p>
    <w:p>
      <w:r>
        <w:rPr>
          <w:i w:val="0"/>
        </w:rPr>
        <w:t>M3GNet, from Chi Chen and Shyue Ping Ong in 2022, went further, training on Materials Project relaxation trajectories to predict energy, forces and stresses across the whole periodic table, the first universal graph-network interatomic potential to do so. An interatomic potential can relax a structure, and the expensive step in a high-throughput hull calculation is not the final energy but the geometry optimization that precedes it, so replacing the optimizer's energy and force calls with a network replaces the cost of density functional theory with the cost of a forward pass. CHGNet, from Bowen Deng, Peichen Zhong, KyuJung Jun, Janosh Riebesell, Kevin Han, Christopher J. Bartel and Gerbrand Ceder in 2023, trained on more than 1.5 million structures accumulated over a decade of Materials Project calculations and added magnetic moments as an explicit output, so that the model carries local charge state rather than inferring it implicitly. That matters for transition metal oxides, where the same formula supports several oxidation states with different energies, and it is what allows charge-informed molecular dynamics and phase diagrams for battery materials.</w:t>
      </w:r>
    </w:p>
    <w:p>
      <w:r>
        <w:rPr>
          <w:i w:val="0"/>
        </w:rPr>
        <w:t>The surrogate chain has a consequence that is easy to state and easy to forget. These models are trained to reproduce density functional theory and evaluated against density functional theory; the reference energies defining the hull are still calculated ones. A perfect surrogate reproduces the errors documented by Kirklin and colleagues exactly, and the noise floor of roughly 0.1 eV per atom against experiment is untouched by any amount of additional training data.</w:t>
      </w:r>
    </w:p>
    <w:p>
      <w:pPr>
        <w:pStyle w:val="BookSection"/>
      </w:pPr>
      <w:r>
        <w:t>Proposing structures instead of screening them</w:t>
      </w:r>
    </w:p>
    <w:p>
      <w:r>
        <w:rPr>
          <w:i w:val="0"/>
        </w:rPr>
        <w:t>Screening presupposes a list. Crystal structure prediction produces one, and two pre-deep-learning methods set the baseline. Ab initio random structure searching, described by Chris J. Pickard and R. J. Needs in 2011, generates structures at random subject to sensible constraints and relaxes each with density functional theory, and so simple a procedure finds ground states that any more elaborate method must beat to justify itself. USPEX, from Artem R. Oganov and Colin W. Glass in 2006, evolves a population of structures toward low energy from composition alone.</w:t>
      </w:r>
    </w:p>
    <w:p>
      <w:r>
        <w:rPr>
          <w:i w:val="0"/>
        </w:rPr>
        <w:t>Generative models change the sampling distribution rather than the search. CDVAE, from Tian Xie, Xiang Fu, Octavian-Eugen Ganea, Regina Barzilay and Tommi Jaakkola at ICLR 2022, applied diffusion to periodic crystals while respecting the invariances a crystal demands, which is harder than for a molecule because the lattice is itself a variable and positions are defined only modulo lattice translations. MatterGen, from Claudio Zeni, Robert Pinsler, Tian Xie and colleagues at Microsoft Research AI for Science and published in Nature in 2025, extended that to a model fine-tuned to generate conditionally, on target chemistry, on space group, and on mechanical, electronic or magnetic property constraints, so that no fixed candidate pool is needed. What generation does not do is evaluate. Whether a sample sits below the hull is still decided by the construction of the first section, with reference energies from the same databases and the same zero-temperature omissions.</w:t>
      </w:r>
    </w:p>
    <w:p>
      <w:pPr>
        <w:pStyle w:val="BookSection"/>
      </w:pPr>
      <w:r>
        <w:t>Two papers, one day</w:t>
      </w:r>
    </w:p>
    <w:p>
      <w:r>
        <w:rPr>
          <w:i w:val="0"/>
        </w:rPr>
        <w:t xml:space="preserve">On 29 November 2023 Nature published two papers together. The first, from Amil Merchant, Simon Batzner, Samuel S. Schoenholz, Muratahan Aykol, Gowoon Cheon and Ekin Dogus Cubuk at Google DeepMind, reported GNoME, Graph Networks for Materials Exploration. Any pipeline of this kind must contain three stages, and the arithmetic of the first section fixes what each can do. A generator emits candidate structures. A learned energy model, here of the graph-network lineage the name announces and Xie and Grossman began, ranks them cheaply and discards the great majority. The survivors are relaxed and evaluated with density functional theory, because </w:t>
      </w:r>
      <m:oMath>
        <m:sSub>
          <m:e>
            <m:acc>
              <m:accPr>
                <m:chr m:val="̂"/>
              </m:accPr>
              <m:e>
                <m:r>
                  <m:t>H</m:t>
                </m:r>
              </m:e>
            </m:acc>
          </m:e>
          <m:sub>
            <m:r>
              <m:t>𝒟</m:t>
            </m:r>
          </m:sub>
        </m:sSub>
      </m:oMath>
      <w:r>
        <w:rPr>
          <w:i w:val="0"/>
        </w:rPr>
        <w:t xml:space="preserve"> is defined by density functional theory energies and nothing cheaper can be compared against it. The reported outputs are 2.2 million structures found below the convex hull, of which 381,000 were described as newly discovered stable materials, an expansion of the stable materials known to humanity by an order of magnitude; 736 of the stable structures, the paper states, had already been independently experimentally realized. The accompanying company announcement gave the stable count as 380,000, said the structures would be contributed to the Materials Project, and repeated the 736.</w:t>
      </w:r>
    </w:p>
    <w:p>
      <w:r>
        <w:rPr>
          <w:i w:val="0"/>
        </w:rPr>
        <w:t xml:space="preserve">Below the hull, here, means below </w:t>
      </w:r>
      <m:oMath>
        <m:sSub>
          <m:e>
            <m:acc>
              <m:accPr>
                <m:chr m:val="̂"/>
              </m:accPr>
              <m:e>
                <m:r>
                  <m:t>H</m:t>
                </m:r>
              </m:e>
            </m:acc>
          </m:e>
          <m:sub>
            <m:r>
              <m:t>𝒟</m:t>
            </m:r>
          </m:sub>
        </m:sSub>
      </m:oMath>
      <w:r>
        <w:rPr>
          <w:i w:val="0"/>
        </w:rPr>
        <w:t xml:space="preserve"> for </w:t>
      </w:r>
      <m:oMath>
        <m:r>
          <m:t>𝒟</m:t>
        </m:r>
      </m:oMath>
      <w:r>
        <w:rPr>
          <w:i w:val="0"/>
        </w:rPr>
        <w:t xml:space="preserve"> the incumbent databases, and this is where the first of the two properties comes due. Entering 381,000 stable entries into </w:t>
      </w:r>
      <m:oMath>
        <m:r>
          <m:t>𝒟</m:t>
        </m:r>
      </m:oMath>
      <w:r>
        <w:rPr>
          <w:i w:val="0"/>
        </w:rPr>
        <w:t xml:space="preserve"> does not leave the old hull standing with new points beneath it. It redraws the envelope, and every compound in the Materials Project that sat on a facet now undercut is lifted off the hull and becomes, by the same criterion that certified it, metastable. The certificate that a GNoME entry is stable and the certificate that an incumbent entry is stable were issued against different hulls. The same holds inside the new set, where 2.2 million candidates compete with one another.</w:t>
      </w:r>
    </w:p>
    <w:p>
      <w:r>
        <w:rPr>
          <w:i w:val="0"/>
        </w:rPr>
        <w:t xml:space="preserve">In 2024 Anthony K. Cheetham and Ram Seshadri examined randomized subsets of the released structures and reported, in Chemistry of Materials, scant evidence for compounds that fulfill the trifecta of novelty, credibility, and utility. Three findings carry the argument. All ten randomly selected entries drawn from the 384,870-entry Stable Structure database were identified in the Inorganic Crystal Structure Database, so the sampled compounds were already known. The space-group statistics do not resemble those of real inorganic solids: Pnma and </w:t>
      </w:r>
      <m:oMath>
        <m:r>
          <m:t>P</m:t>
        </m:r>
        <m:sSub>
          <m:e>
            <m:r>
              <m:t>2</m:t>
            </m:r>
          </m:e>
          <m:sub>
            <m:r>
              <m:t>1</m:t>
            </m:r>
          </m:sub>
        </m:sSub>
        <m:r>
          <m:t>/c</m:t>
        </m:r>
      </m:oMath>
      <w:r>
        <w:rPr>
          <w:i w:val="0"/>
        </w:rPr>
        <w:t xml:space="preserve"> together account for roughly 16% of ICSD structures, about 8% each, yet Pnma ranks only sixteenth in the GNoME set at 1.56%, and the four commonest GNoME space groups are all non-centrosymmetric and cover about 34% of entries, whereas the ICSD's top twenty-four space groups contain just one non-centrosymmetric group, accounting for 1% of structures. And 18,138 of the compounds contain promethium, actinium or protactinium, with a further 23,529 containing technetium, neptunium or plutonium, elements whose radioactivity forecloses any plausible use.</w:t>
      </w:r>
    </w:p>
    <w:p>
      <w:r>
        <w:rPr>
          <w:i w:val="0"/>
        </w:rPr>
        <w:t>The space-group anomaly is the diagnostic one, because it can be assigned to a stage. Local relaxation moves atoms downhill from a starting configuration and can only preserve or lower its symmetry; it cannot manufacture an inversion centre the input did not have. An energy filter selects among structures and does not create them. So a structure that is non-centrosymmetric in the released set was non-centrosymmetric when it was generated, and the excess is a property of the generator. The mechanism is substitution: take a centrosymmetric parent structure and place different elements on two sites related by the inversion, and the inversion is destroyed by the decoration rather than by any energetic preference. The distribution is reporting that the candidate pool was built by decorating prototypes, and that the ordering in most of those cells was imposed by the enumeration rather than found by the physics.</w:t>
      </w:r>
    </w:p>
    <w:p>
      <w:r>
        <w:rPr>
          <w:i w:val="0"/>
        </w:rPr>
        <w:t>The companion paper, from Nathan J. Szymanski, Bernardus Rendy, Yuxing Fei, Christopher J. Bartel, Kristin Persson, Yan Zeng, Gerbrand Ceder and colleagues at Berkeley, Lawrence Berkeley National Laboratory, Google DeepMind and Minnesota, described the A-Lab: an autonomous robotic platform that selected synthesis targets from Materials Project and Google DeepMind phase-stability data, planned solid-state routes, executed them, and characterized the products by powder X-ray diffraction with automated Rietveld refinement. As originally published, it reported realizing 41 novel compounds from 58 targets over 17 days of continuous operation. Nature's news desk, in a piece by Mark Peplow on 12 December 2023, reported that the claim had already sparked a row among solid-state chemists.</w:t>
      </w:r>
    </w:p>
    <w:p>
      <w:r>
        <w:rPr>
          <w:i w:val="0"/>
        </w:rPr>
        <w:t>The rebuttal appeared in PRX Energy on 7 March 2024, from Josh Leeman, Yuhan Liu, Joseph Stiles, Scott B. Lee, Prajna Bhatt, Leslie M. Schoop and Robert G. Palgrave, with two distinct arguments. The first is technical: the automated Rietveld analyses contained substantial errors, so the diffraction evidence did not support the identifications claimed. The second is thermodynamic, and it is the second omission of the first section coming due. Density functional theory at zero kelvin has no configurational entropy, so when it evaluates a candidate it must place each cation on a distinct crystallographic site, producing an ordered compound. Leeman and colleagues argued that roughly two-thirds of the claimed successes were therefore likely to be already-known compositionally disordered versions of the ordered compounds the pipeline had predicted. The diffraction pattern of a disordered phase is not the pattern of the ordered one, but an automated refinement given the ordered model as its starting hypothesis will often fit it anyway.</w:t>
      </w:r>
    </w:p>
    <w:p>
      <w:r>
        <w:rPr>
          <w:i w:val="0"/>
        </w:rPr>
        <w:t>On 19 January 2026 Nature published an Author Correction. The paper was retitled from novel materials to inorganic materials, and the authors stated that their intention was to indicate that the materials were new to the prediction platform, not necessarily new to science. Manual re-analysis confirmed that the platform had reached the correct conclusion in 36 of its 40 reported successes, with 4 inconclusive, and the abstract now reports 36 compounds from a set of 57 targets, four targets having been excluded as inconclusive from diffraction alone and one compound, Zn</w:t>
      </w:r>
      <m:oMath>
        <m:sSub>
          <m:e>
            <m:r>
              <m:t/>
            </m:r>
          </m:e>
          <m:sub>
            <m:r>
              <m:t>2</m:t>
            </m:r>
          </m:sub>
        </m:sSub>
      </m:oMath>
      <w:r>
        <w:rPr>
          <w:i w:val="0"/>
        </w:rPr>
        <w:t>Cr</w:t>
      </w:r>
      <m:oMath>
        <m:sSub>
          <m:e>
            <m:r>
              <m:t/>
            </m:r>
          </m:e>
          <m:sub>
            <m:r>
              <m:t>3</m:t>
            </m:r>
          </m:sub>
        </m:sSub>
      </m:oMath>
      <w:r>
        <w:rPr>
          <w:i w:val="0"/>
        </w:rPr>
        <w:t>FeO</w:t>
      </w:r>
      <m:oMath>
        <m:sSub>
          <m:e>
            <m:r>
              <m:t/>
            </m:r>
          </m:e>
          <m:sub>
            <m:r>
              <m:t>8</m:t>
            </m:r>
          </m:sub>
        </m:sSub>
      </m:oMath>
      <w:r>
        <w:rPr>
          <w:i w:val="0"/>
        </w:rPr>
        <w:t>, removed because it had mistakenly been included in the training data.</w:t>
      </w:r>
    </w:p>
    <w:p>
      <w:pPr>
        <w:pStyle w:val="BookSection"/>
      </w:pPr>
      <w:r>
        <w:t>Two different failures</w:t>
      </w:r>
    </w:p>
    <w:p>
      <w:r>
        <w:rPr>
          <w:i w:val="0"/>
        </w:rPr>
        <w:t>The two critiques are usually read as one complaint about overstated discovery. They are not the same complaint, and the difference is this chapter's subject.</w:t>
      </w:r>
    </w:p>
    <w:p>
      <w:r>
        <w:rPr>
          <w:i w:val="0"/>
        </w:rPr>
        <w:t>Cheetham and Seshadri found known compounds in a set labelled as discovered. Nothing in that finding impugns the energetics. A compound deposited in the Inorganic Crystal Structure Database decades ago can sit exactly on the hull, and a calculation that places it there has done what it was asked. Novelty is not a thermodynamic quantity: it has no representation in the free energy and cannot be recovered from any refinement of the functional, so the step that went wrong sits above the calculation, in the bookkeeping that mapped stable and absent from our input list onto new to science.</w:t>
      </w:r>
    </w:p>
    <w:p>
      <w:r>
        <w:rPr>
          <w:i w:val="0"/>
        </w:rPr>
        <w:t xml:space="preserve">Leeman and colleagues found something else: the free energy itself was the wrong function to minimize. Write </w:t>
      </w:r>
      <m:oMath>
        <m:r>
          <m:t>G=H−TS</m:t>
        </m:r>
      </m:oMath>
      <w:r>
        <w:rPr>
          <w:i w:val="0"/>
        </w:rPr>
        <w:t xml:space="preserve"> and consider two species sharing a sublattice that is a fraction </w:t>
      </w:r>
      <m:oMath>
        <m:r>
          <m:t>f</m:t>
        </m:r>
      </m:oMath>
      <w:r>
        <w:rPr>
          <w:i w:val="0"/>
        </w:rPr>
        <w:t xml:space="preserve"> of the atoms in the formula unit. At </w:t>
      </w:r>
      <m:oMath>
        <m:r>
          <m:t>T=0</m:t>
        </m:r>
      </m:oMath>
      <w:r>
        <w:rPr>
          <w:i w:val="0"/>
        </w:rPr>
        <w:t xml:space="preserve"> the entropy term is absent, the minimization runs over orderings on distinct sites, and the winner is the arrangement with the lowest enthalpy, which is ordered by construction. At a synthesis temperature the ideal configurational entropy of equimolar mixing on that sublattice contributes</w:t>
      </w:r>
    </w:p>
    <w:p>
      <w:pPr>
        <w:spacing w:before="200" w:after="200"/>
        <w:ind w:firstLine="0"/>
        <w:jc w:val="center"/>
        <w:contextualSpacing w:val="0"/>
      </w:pPr>
      <m:oMath>
        <m:r>
          <m:t>−TΔ</m:t>
        </m:r>
        <m:sSub>
          <m:e>
            <m:r>
              <m:t>S</m:t>
            </m:r>
          </m:e>
          <m:sub>
            <m:r>
              <m:rPr>
                <m:sty m:val="p"/>
              </m:rPr>
              <m:t>conf</m:t>
            </m:r>
          </m:sub>
        </m:sSub>
        <m:r>
          <m:t>=−f</m:t>
        </m:r>
        <m:sSub>
          <m:e>
            <m:r>
              <m:t>k</m:t>
            </m:r>
          </m:e>
          <m:sub>
            <m:r>
              <m:t>B</m:t>
            </m:r>
          </m:sub>
        </m:sSub>
        <m:r>
          <m:t>T</m:t>
        </m:r>
        <m:r>
          <m:rPr>
            <m:sty m:val="p"/>
          </m:rPr>
          <m:t>ln</m:t>
        </m:r>
        <m:r>
          <m:t>2</m:t>
        </m:r>
      </m:oMath>
    </w:p>
    <w:p>
      <w:r>
        <w:rPr>
          <w:i w:val="0"/>
        </w:rPr>
        <w:t xml:space="preserve">per atom, which at 1400 K is about </w:t>
      </w:r>
      <m:oMath>
        <m:r>
          <m:t>0.084f</m:t>
        </m:r>
      </m:oMath>
      <w:r>
        <w:rPr>
          <w:i w:val="0"/>
        </w:rPr>
        <w:t xml:space="preserve"> eV per atom, against ordering enthalpies routinely of tens of meV per atom. For a sublattice that is a substantial fraction of the cell the disordered phase wins, and the ordered structure the pipeline nominated is not the free-energy minimum at the temperature where the synthesis was run. That is an incomplete energetic model producing the wrong ground state, and no amount of care in the novelty accounting would have caught it.</w:t>
      </w:r>
    </w:p>
    <w:p>
      <w:r>
        <w:rPr>
          <w:i w:val="0"/>
        </w:rPr>
        <w:t>What the two critiques share is not a common error but a common certificate. The pipeline issues one number, a computed distance to a hull built from calculated zero-temperature energies over a particular list of competitors. Reading that number as a discovery requires two further things the number does not contain: an assertion about what is already in the literature, which the 2026 retitling concedes, and a free energy at the temperature of the experiment.</w:t>
      </w:r>
    </w:p>
    <w:p>
      <w:r>
        <w:rPr>
          <w:i w:val="0"/>
        </w:rPr>
        <w:t>This is also why the benchmark cannot arbitrate either failure. Matbench Discovery scores a model on how well it classifies compounds by their signed distance to a hull of density functional theory energies, and it must, because that is the only ground truth available at scale. A model reproducing those energies perfectly would score perfectly while inheriting the zero-temperature omission entire, and its score would be identical whether the compound was catalogued in 1974 or has never been made. Precision on the stable class measures agreement with a calculation. Agreement and discovery were assumed to travel together for as long as the candidate pools were small enough that a chemist recognized the entries, and 2.2 million entries is past that point.</w:t>
      </w:r>
    </w:p>
    <w:p>
      <w:r>
        <w:rPr>
          <w:i w:val="0"/>
        </w:rPr>
        <w:t>The obvious repair is to define novelty by absence from a database and score against that. But a database records what has been made, characterized and deposited, so absence from it is a statement about the history of laboratories rather than about the compound, and the models proposing candidates were trained on the same catalogues that would be asked to certify them as new.</w:t>
      </w:r>
    </w:p>
    <w:p>
      <w:pPr>
        <w:pStyle w:val="Heading1"/>
      </w:pPr>
      <w:r>
        <w:t>References</w:t>
      </w:r>
    </w:p>
    <w:p>
      <w:pPr>
        <w:spacing w:before="120" w:after="0"/>
        <w:ind w:firstLine="0"/>
      </w:pPr>
      <w:r>
        <w:rPr>
          <w:i w:val="0"/>
        </w:rPr>
        <w:t xml:space="preserve">Bartel, Trewartha, Wang, Dunn, Jain, Ceder (2020). npj Computational Materials 6, 97. </w:t>
      </w:r>
      <w:hyperlink r:id="rId63">
        <w:r>
          <w:rPr>
            <w:rStyle w:val="Hyperlink"/>
          </w:rPr>
          <w:t xml:space="preserve">https://doi.org/10.1038/s41524-020-00362-y</w:t>
        </w:r>
      </w:hyperlink>
    </w:p>
    <w:p>
      <w:pPr>
        <w:spacing w:before="120" w:after="0"/>
        <w:ind w:firstLine="0"/>
      </w:pPr>
      <w:r>
        <w:rPr>
          <w:i w:val="0"/>
        </w:rPr>
        <w:t xml:space="preserve">Cheetham, Seshadri (2024). Chemistry of Materials 36(8), 3490-3495. </w:t>
      </w:r>
      <w:hyperlink r:id="rId64">
        <w:r>
          <w:rPr>
            <w:rStyle w:val="Hyperlink"/>
          </w:rPr>
          <w:t xml:space="preserve">https://doi.org/10.1021/acs.chemmater.4c00643</w:t>
        </w:r>
      </w:hyperlink>
    </w:p>
    <w:p>
      <w:pPr>
        <w:spacing w:before="120" w:after="0"/>
        <w:ind w:firstLine="0"/>
      </w:pPr>
      <w:r>
        <w:rPr>
          <w:i w:val="0"/>
        </w:rPr>
        <w:t xml:space="preserve">Chen, Ong (2022). Nature Computational Science 2(11), 718-728. </w:t>
      </w:r>
      <w:hyperlink r:id="rId65">
        <w:r>
          <w:rPr>
            <w:rStyle w:val="Hyperlink"/>
          </w:rPr>
          <w:t xml:space="preserve">https://doi.org/10.1038/s43588-022-00349-3</w:t>
        </w:r>
      </w:hyperlink>
    </w:p>
    <w:p>
      <w:pPr>
        <w:spacing w:before="120" w:after="0"/>
        <w:ind w:firstLine="0"/>
      </w:pPr>
      <w:r>
        <w:rPr>
          <w:i w:val="0"/>
        </w:rPr>
        <w:t xml:space="preserve">Curtarolo, Setyawan, Hart, Jahnatek, Chepulskii, Taylor, Wang, Xue, Yang, Levy, Mehl, Stokes, Demchenko, Morgan (2012). Computational Materials Science 58, 218-226. </w:t>
      </w:r>
      <w:hyperlink r:id="rId66">
        <w:r>
          <w:rPr>
            <w:rStyle w:val="Hyperlink"/>
          </w:rPr>
          <w:t xml:space="preserve">https://doi.org/10.1016/j.commatsci.2012.02.005</w:t>
        </w:r>
      </w:hyperlink>
    </w:p>
    <w:p>
      <w:pPr>
        <w:spacing w:before="120" w:after="0"/>
        <w:ind w:firstLine="0"/>
      </w:pPr>
      <w:r>
        <w:rPr>
          <w:i w:val="0"/>
        </w:rPr>
        <w:t xml:space="preserve">Deng, Zhong, Jun, Riebesell, Han, Bartel, Ceder (2023). Nature Machine Intelligence 5(9), 1031-1041. </w:t>
      </w:r>
      <w:hyperlink r:id="rId67">
        <w:r>
          <w:rPr>
            <w:rStyle w:val="Hyperlink"/>
          </w:rPr>
          <w:t xml:space="preserve">https://doi.org/10.1038/s42256-023-00716-3</w:t>
        </w:r>
      </w:hyperlink>
    </w:p>
    <w:p>
      <w:pPr>
        <w:spacing w:before="120" w:after="0"/>
        <w:ind w:firstLine="0"/>
      </w:pPr>
      <w:r>
        <w:rPr>
          <w:i w:val="0"/>
        </w:rPr>
        <w:t xml:space="preserve">Google DeepMind (2023). Google DeepMind blog, 29 November 2023. </w:t>
      </w:r>
      <w:hyperlink r:id="rId68">
        <w:r>
          <w:rPr>
            <w:rStyle w:val="Hyperlink"/>
          </w:rPr>
          <w:t xml:space="preserve">https://deepmind.google/discover/blog/millions-of-new-materials-discovered-with-deep-learning/</w:t>
        </w:r>
      </w:hyperlink>
    </w:p>
    <w:p>
      <w:pPr>
        <w:spacing w:before="120" w:after="0"/>
        <w:ind w:firstLine="0"/>
      </w:pPr>
      <w:r>
        <w:rPr>
          <w:i w:val="0"/>
        </w:rPr>
        <w:t xml:space="preserve">Jain, Ong, Hautier, Chen, Richards, Dacek, Cholia, Gunter, Skinner, Ceder, Persson (2013). APL Materials 1(1), 011002. </w:t>
      </w:r>
      <w:hyperlink r:id="rId69">
        <w:r>
          <w:rPr>
            <w:rStyle w:val="Hyperlink"/>
          </w:rPr>
          <w:t xml:space="preserve">https://doi.org/10.1063/1.4812323</w:t>
        </w:r>
      </w:hyperlink>
    </w:p>
    <w:p>
      <w:pPr>
        <w:spacing w:before="120" w:after="0"/>
        <w:ind w:firstLine="0"/>
      </w:pPr>
      <w:r>
        <w:rPr>
          <w:i w:val="0"/>
        </w:rPr>
        <w:t xml:space="preserve">Kaufman, Ågren (2014). Scripta Materialia 70, 3-6. </w:t>
      </w:r>
      <w:hyperlink r:id="rId70">
        <w:r>
          <w:rPr>
            <w:rStyle w:val="Hyperlink"/>
          </w:rPr>
          <w:t xml:space="preserve">https://doi.org/10.1016/j.scriptamat.2012.12.003</w:t>
        </w:r>
      </w:hyperlink>
    </w:p>
    <w:p>
      <w:pPr>
        <w:spacing w:before="120" w:after="0"/>
        <w:ind w:firstLine="0"/>
      </w:pPr>
      <w:r>
        <w:rPr>
          <w:i w:val="0"/>
        </w:rPr>
        <w:t xml:space="preserve">Kirklin, Saal, Meredig, Thompson, Doak, Aykol, Rühl, Wolverton (2015). npj Computational Materials 1, 15010. </w:t>
      </w:r>
      <w:hyperlink r:id="rId71">
        <w:r>
          <w:rPr>
            <w:rStyle w:val="Hyperlink"/>
          </w:rPr>
          <w:t xml:space="preserve">https://doi.org/10.1038/npjcompumats.2015.10</w:t>
        </w:r>
      </w:hyperlink>
    </w:p>
    <w:p>
      <w:pPr>
        <w:spacing w:before="120" w:after="0"/>
        <w:ind w:firstLine="0"/>
      </w:pPr>
      <w:r>
        <w:rPr>
          <w:i w:val="0"/>
        </w:rPr>
        <w:t xml:space="preserve">Leeman, Liu, Stiles, Lee, Bhatt, Schoop, Palgrave (2024). PRX Energy 3(1), 011002 (published 7 March 2024). </w:t>
      </w:r>
      <w:hyperlink r:id="rId72">
        <w:r>
          <w:rPr>
            <w:rStyle w:val="Hyperlink"/>
          </w:rPr>
          <w:t xml:space="preserve">https://doi.org/10.1103/PRXEnergy.3.011002</w:t>
        </w:r>
      </w:hyperlink>
    </w:p>
    <w:p>
      <w:pPr>
        <w:spacing w:before="120" w:after="0"/>
        <w:ind w:firstLine="0"/>
      </w:pPr>
      <w:r>
        <w:rPr>
          <w:i w:val="0"/>
        </w:rPr>
        <w:t xml:space="preserve">Liu (2023). Calphad 82, 102580. </w:t>
      </w:r>
      <w:hyperlink r:id="rId73">
        <w:r>
          <w:rPr>
            <w:rStyle w:val="Hyperlink"/>
          </w:rPr>
          <w:t xml:space="preserve">https://doi.org/10.1016/j.calphad.2023.102580</w:t>
        </w:r>
      </w:hyperlink>
    </w:p>
    <w:p>
      <w:pPr>
        <w:spacing w:before="120" w:after="0"/>
        <w:ind w:firstLine="0"/>
      </w:pPr>
      <w:r>
        <w:rPr>
          <w:i w:val="0"/>
        </w:rPr>
        <w:t xml:space="preserve">Merchant, Batzner, Schoenholz, Aykol, Cheon, Cubuk (2023). Nature 624(7990), 80-85 (published online 29 November 2023). </w:t>
      </w:r>
      <w:hyperlink r:id="rId74">
        <w:r>
          <w:rPr>
            <w:rStyle w:val="Hyperlink"/>
          </w:rPr>
          <w:t xml:space="preserve">https://doi.org/10.1038/s41586-023-06735-9</w:t>
        </w:r>
      </w:hyperlink>
    </w:p>
    <w:p>
      <w:pPr>
        <w:spacing w:before="120" w:after="0"/>
        <w:ind w:firstLine="0"/>
      </w:pPr>
      <w:r>
        <w:rPr>
          <w:i w:val="0"/>
        </w:rPr>
        <w:t xml:space="preserve">Oganov, Glass (2006). The Journal of Chemical Physics 124(24), 244704. </w:t>
      </w:r>
      <w:hyperlink r:id="rId75">
        <w:r>
          <w:rPr>
            <w:rStyle w:val="Hyperlink"/>
          </w:rPr>
          <w:t xml:space="preserve">https://doi.org/10.1063/1.2210932</w:t>
        </w:r>
      </w:hyperlink>
    </w:p>
    <w:p>
      <w:pPr>
        <w:spacing w:before="120" w:after="0"/>
        <w:ind w:firstLine="0"/>
      </w:pPr>
      <w:r>
        <w:rPr>
          <w:i w:val="0"/>
        </w:rPr>
        <w:t xml:space="preserve">Ong, Wang, Kang, Ceder (2008). Chemistry of Materials 20(5), 1798-1807. </w:t>
      </w:r>
      <w:hyperlink r:id="rId76">
        <w:r>
          <w:rPr>
            <w:rStyle w:val="Hyperlink"/>
          </w:rPr>
          <w:t xml:space="preserve">https://doi.org/10.1021/cm702327g</w:t>
        </w:r>
      </w:hyperlink>
    </w:p>
    <w:p>
      <w:pPr>
        <w:spacing w:before="120" w:after="0"/>
        <w:ind w:firstLine="0"/>
      </w:pPr>
      <w:r>
        <w:rPr>
          <w:i w:val="0"/>
        </w:rPr>
        <w:t xml:space="preserve">Peplow (2023). Nature news, 12 December 2023. </w:t>
      </w:r>
      <w:hyperlink r:id="rId77">
        <w:r>
          <w:rPr>
            <w:rStyle w:val="Hyperlink"/>
          </w:rPr>
          <w:t xml:space="preserve">https://doi.org/10.1038/d41586-023-03956-w</w:t>
        </w:r>
      </w:hyperlink>
    </w:p>
    <w:p>
      <w:pPr>
        <w:spacing w:before="120" w:after="0"/>
        <w:ind w:firstLine="0"/>
      </w:pPr>
      <w:r>
        <w:rPr>
          <w:i w:val="0"/>
        </w:rPr>
        <w:t xml:space="preserve">Pickard, Needs (2011). Journal of Physics: Condensed Matter 23(5), 053201. </w:t>
      </w:r>
      <w:hyperlink r:id="rId78">
        <w:r>
          <w:rPr>
            <w:rStyle w:val="Hyperlink"/>
          </w:rPr>
          <w:t xml:space="preserve">https://doi.org/10.1088/0953-8984/23/5/053201</w:t>
        </w:r>
      </w:hyperlink>
    </w:p>
    <w:p>
      <w:pPr>
        <w:spacing w:before="120" w:after="0"/>
        <w:ind w:firstLine="0"/>
      </w:pPr>
      <w:r>
        <w:rPr>
          <w:i w:val="0"/>
        </w:rPr>
        <w:t xml:space="preserve">Riebesell, Goodall, Benner, Chiang, Deng, Ceder, Asta, Lee, Jain, Persson (2025). Nature Machine Intelligence 7, 836-847 (arXiv:2308.14920 preprint, 2023). </w:t>
      </w:r>
      <w:hyperlink r:id="rId79">
        <w:r>
          <w:rPr>
            <w:rStyle w:val="Hyperlink"/>
          </w:rPr>
          <w:t xml:space="preserve">https://doi.org/10.1038/s42256-025-01055-1</w:t>
        </w:r>
      </w:hyperlink>
    </w:p>
    <w:p>
      <w:pPr>
        <w:spacing w:before="120" w:after="0"/>
        <w:ind w:firstLine="0"/>
      </w:pPr>
      <w:r>
        <w:rPr>
          <w:i w:val="0"/>
        </w:rPr>
        <w:t xml:space="preserve">Saal, Kirklin, Aykol, Meredig, Wolverton (2013). JOM 65(11), 1501-1509. </w:t>
      </w:r>
      <w:hyperlink r:id="rId80">
        <w:r>
          <w:rPr>
            <w:rStyle w:val="Hyperlink"/>
          </w:rPr>
          <w:t xml:space="preserve">https://doi.org/10.1007/s11837-013-0755-4</w:t>
        </w:r>
      </w:hyperlink>
    </w:p>
    <w:p>
      <w:pPr>
        <w:spacing w:before="120" w:after="0"/>
        <w:ind w:firstLine="0"/>
      </w:pPr>
      <w:r>
        <w:rPr>
          <w:i w:val="0"/>
        </w:rPr>
        <w:t xml:space="preserve">Szymanski, Rendy, Fei, Kumar, He, Milsted, McDermott, Gallant, Cubuk, Merchant, Kim, Jain, Bartel, Persson, Zeng, Ceder (2023). An autonomous laboratory for the accelerated synthesis of inorganic materials. Nature 624(7990), 86-91 (published online 29 November 2023). </w:t>
      </w:r>
      <w:hyperlink r:id="rId81">
        <w:r>
          <w:rPr>
            <w:rStyle w:val="Hyperlink"/>
          </w:rPr>
          <w:t xml:space="preserve">https://doi.org/10.1038/s41586-023-06734-w</w:t>
        </w:r>
      </w:hyperlink>
    </w:p>
    <w:p>
      <w:pPr>
        <w:spacing w:before="120" w:after="0"/>
        <w:ind w:firstLine="0"/>
      </w:pPr>
      <w:r>
        <w:rPr>
          <w:i w:val="0"/>
        </w:rPr>
        <w:t xml:space="preserve">Szymanski, Rendy, Fei, Kumar, He, Milsted, McDermott, Gallant, Cubuk, Merchant, Kim, Jain, Bartel, Persson, Zeng, Ceder (2026). Nature 650(8100), E1. </w:t>
      </w:r>
      <w:hyperlink r:id="rId82">
        <w:r>
          <w:rPr>
            <w:rStyle w:val="Hyperlink"/>
          </w:rPr>
          <w:t xml:space="preserve">https://doi.org/10.1038/s41586-025-09992-y</w:t>
        </w:r>
      </w:hyperlink>
    </w:p>
    <w:p>
      <w:pPr>
        <w:spacing w:before="120" w:after="0"/>
        <w:ind w:firstLine="0"/>
      </w:pPr>
      <w:r>
        <w:rPr>
          <w:i w:val="0"/>
        </w:rPr>
        <w:t xml:space="preserve">Xie, Fu, Ganea, Barzilay, Jaakkola (2022). ICLR 2022 (arXiv:2110.06197, submitted 12 October 2021). </w:t>
      </w:r>
      <w:hyperlink r:id="rId83">
        <w:r>
          <w:rPr>
            <w:rStyle w:val="Hyperlink"/>
          </w:rPr>
          <w:t xml:space="preserve">https://arxiv.org/abs/2110.06197</w:t>
        </w:r>
      </w:hyperlink>
    </w:p>
    <w:p>
      <w:pPr>
        <w:spacing w:before="120" w:after="0"/>
        <w:ind w:firstLine="0"/>
      </w:pPr>
      <w:r>
        <w:rPr>
          <w:i w:val="0"/>
        </w:rPr>
        <w:t xml:space="preserve">Xie, Grossman (2018). Physical Review Letters 120(14), 145301. </w:t>
      </w:r>
      <w:hyperlink r:id="rId84">
        <w:r>
          <w:rPr>
            <w:rStyle w:val="Hyperlink"/>
          </w:rPr>
          <w:t xml:space="preserve">https://doi.org/10.1103/PhysRevLett.120.145301</w:t>
        </w:r>
      </w:hyperlink>
    </w:p>
    <w:p>
      <w:pPr>
        <w:spacing w:before="120" w:after="0"/>
        <w:ind w:firstLine="0"/>
      </w:pPr>
      <w:r>
        <w:rPr>
          <w:i w:val="0"/>
        </w:rPr>
        <w:t xml:space="preserve">Zeni, Pinsler, Zügner, Fowler, Horton, Fu, Wang, Shysheya, Crabbé, Ueda, Sordillo, Sun, Smith, Nguyen, Schulz, Lewis, Huang, Lu, Zhou, Yang, Hao, Li, Yang, Li, Tomioka, Xie (2025). Nature 639(8055), 624-632 (published online 16 January 2025). </w:t>
      </w:r>
      <w:hyperlink r:id="rId85">
        <w:r>
          <w:rPr>
            <w:rStyle w:val="Hyperlink"/>
          </w:rPr>
          <w:t xml:space="preserve">https://doi.org/10.1038/s41586-025-08628-5</w:t>
        </w:r>
      </w:hyperlink>
    </w:p>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 w:type="paragraph" w:customStyle="1" w:styleId="BookSection">
    <w:name w:val="BookSection"/>
    <w:basedOn w:val="Normal"/>
    <w:pPr>
      <w:keepNext/>
      <w:spacing w:before="320" w:after="80"/>
      <w:ind w:firstLine="0"/>
    </w:pPr>
    <w:rPr>
      <w:rFonts w:ascii="Garamond" w:hAnsi="Garamond"/>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63" Type="http://schemas.openxmlformats.org/officeDocument/2006/relationships/hyperlink" Target="https://doi.org/10.1038/s41524-020-00362-y" TargetMode="External"/><Relationship Id="rId64" Type="http://schemas.openxmlformats.org/officeDocument/2006/relationships/hyperlink" Target="https://doi.org/10.1021/acs.chemmater.4c00643" TargetMode="External"/><Relationship Id="rId65" Type="http://schemas.openxmlformats.org/officeDocument/2006/relationships/hyperlink" Target="https://doi.org/10.1038/s43588-022-00349-3" TargetMode="External"/><Relationship Id="rId66" Type="http://schemas.openxmlformats.org/officeDocument/2006/relationships/hyperlink" Target="https://doi.org/10.1016/j.commatsci.2012.02.005" TargetMode="External"/><Relationship Id="rId67" Type="http://schemas.openxmlformats.org/officeDocument/2006/relationships/hyperlink" Target="https://doi.org/10.1038/s42256-023-00716-3" TargetMode="External"/><Relationship Id="rId68" Type="http://schemas.openxmlformats.org/officeDocument/2006/relationships/hyperlink" Target="https://deepmind.google/discover/blog/millions-of-new-materials-discovered-with-deep-learning/" TargetMode="External"/><Relationship Id="rId69" Type="http://schemas.openxmlformats.org/officeDocument/2006/relationships/hyperlink" Target="https://doi.org/10.1063/1.4812323" TargetMode="External"/><Relationship Id="rId70" Type="http://schemas.openxmlformats.org/officeDocument/2006/relationships/hyperlink" Target="https://doi.org/10.1016/j.scriptamat.2012.12.003" TargetMode="External"/><Relationship Id="rId71" Type="http://schemas.openxmlformats.org/officeDocument/2006/relationships/hyperlink" Target="https://doi.org/10.1038/npjcompumats.2015.10" TargetMode="External"/><Relationship Id="rId72" Type="http://schemas.openxmlformats.org/officeDocument/2006/relationships/hyperlink" Target="https://doi.org/10.1103/PRXEnergy.3.011002" TargetMode="External"/><Relationship Id="rId73" Type="http://schemas.openxmlformats.org/officeDocument/2006/relationships/hyperlink" Target="https://doi.org/10.1016/j.calphad.2023.102580" TargetMode="External"/><Relationship Id="rId74" Type="http://schemas.openxmlformats.org/officeDocument/2006/relationships/hyperlink" Target="https://doi.org/10.1038/s41586-023-06735-9" TargetMode="External"/><Relationship Id="rId75" Type="http://schemas.openxmlformats.org/officeDocument/2006/relationships/hyperlink" Target="https://doi.org/10.1063/1.2210932" TargetMode="External"/><Relationship Id="rId76" Type="http://schemas.openxmlformats.org/officeDocument/2006/relationships/hyperlink" Target="https://doi.org/10.1021/cm702327g" TargetMode="External"/><Relationship Id="rId77" Type="http://schemas.openxmlformats.org/officeDocument/2006/relationships/hyperlink" Target="https://doi.org/10.1038/d41586-023-03956-w" TargetMode="External"/><Relationship Id="rId78" Type="http://schemas.openxmlformats.org/officeDocument/2006/relationships/hyperlink" Target="https://doi.org/10.1088/0953-8984/23/5/053201" TargetMode="External"/><Relationship Id="rId79" Type="http://schemas.openxmlformats.org/officeDocument/2006/relationships/hyperlink" Target="https://doi.org/10.1038/s42256-025-01055-1" TargetMode="External"/><Relationship Id="rId80" Type="http://schemas.openxmlformats.org/officeDocument/2006/relationships/hyperlink" Target="https://doi.org/10.1007/s11837-013-0755-4" TargetMode="External"/><Relationship Id="rId81" Type="http://schemas.openxmlformats.org/officeDocument/2006/relationships/hyperlink" Target="https://doi.org/10.1038/s41586-023-06734-w" TargetMode="External"/><Relationship Id="rId82" Type="http://schemas.openxmlformats.org/officeDocument/2006/relationships/hyperlink" Target="https://doi.org/10.1038/s41586-025-09992-y" TargetMode="External"/><Relationship Id="rId83" Type="http://schemas.openxmlformats.org/officeDocument/2006/relationships/hyperlink" Target="https://arxiv.org/abs/2110.06197" TargetMode="External"/><Relationship Id="rId84" Type="http://schemas.openxmlformats.org/officeDocument/2006/relationships/hyperlink" Target="https://doi.org/10.1103/PhysRevLett.120.145301" TargetMode="External"/><Relationship Id="rId85" Type="http://schemas.openxmlformats.org/officeDocument/2006/relationships/hyperlink" Target="https://doi.org/10.1038/s41586-025-0862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