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2.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eading1"/>
      </w:pPr>
      <w:r>
        <w:t>Chapter 18</w:t>
      </w:r>
    </w:p>
    <w:p>
      <w:pPr>
        <w:pStyle w:val="Heading1"/>
      </w:pPr>
      <w:r>
        <w:t>What Did Not Replicate</w:t>
      </w:r>
    </w:p>
    <w:p>
      <w:pPr>
        <w:pStyle w:val="BookSection"/>
      </w:pPr>
      <w:r>
        <w:t>One word replaced</w:t>
      </w:r>
    </w:p>
    <w:p>
      <w:r>
        <w:rPr>
          <w:i w:val="0"/>
        </w:rPr>
        <w:t>On 19 January 2026 Nature published an Author Correction to a paper that had appeared just over two years earlier. The original, by Nathan J. Szymanski, Gerbrand Ceder and coauthors at Lawrence Berkeley National Laboratory and the University of California, Berkeley, described the A-Lab, an autonomous robotic platform for solid-state synthesis. As published on 29 November 2023 it reported that over seventeen days of continuous operation the A-Lab realized 41 novel compounds from a set of 58 targets, drawn from ab initio phase-stability data held by the Materials Project and Google DeepMind. The correction replaced one word in the title, novel becoming inorganic. The abstract of record now reports 36 compounds from 57 targets, and Zn</w:t>
      </w:r>
      <m:oMath>
        <m:sSub>
          <m:e>
            <m:r>
              <m:t/>
            </m:r>
          </m:e>
          <m:sub>
            <m:r>
              <m:t>2</m:t>
            </m:r>
          </m:sub>
        </m:sSub>
      </m:oMath>
      <w:r>
        <w:rPr>
          <w:i w:val="0"/>
        </w:rPr>
        <w:t>Cr</w:t>
      </w:r>
      <m:oMath>
        <m:sSub>
          <m:e>
            <m:r>
              <m:t/>
            </m:r>
          </m:e>
          <m:sub>
            <m:r>
              <m:t>3</m:t>
            </m:r>
          </m:sub>
        </m:sSub>
      </m:oMath>
      <w:r>
        <w:rPr>
          <w:i w:val="0"/>
        </w:rPr>
        <w:t>FeO</w:t>
      </w:r>
      <m:oMath>
        <m:sSub>
          <m:e>
            <m:r>
              <m:t/>
            </m:r>
          </m:e>
          <m:sub>
            <m:r>
              <m:t>8</m:t>
            </m:r>
          </m:sub>
        </m:sSub>
      </m:oMath>
      <w:r>
        <w:rPr>
          <w:i w:val="0"/>
        </w:rPr>
        <w:t xml:space="preserve"> was withdrawn because it had mistakenly been included in the training data. The authors state that the intention had been "to indicate that the materials were new to the prediction platform, not necessarily new to science."</w:t>
      </w:r>
    </w:p>
    <w:p>
      <w:r>
        <w:rPr>
          <w:i w:val="0"/>
        </w:rPr>
        <w:t>What produced the correction was a reanalysis by Josh Leeman, Yuhan Liu and colleagues at Princeton University and University College London, posted to ChemRxiv on 7 January 2024 and published in PRX Energy on 7 March 2024. The argument was that none of the reported compounds was genuinely novel, and that errors ran through both the computational predictions and the experimental phase identification. Each side had its own mechanism, and both recur later in general form.</w:t>
      </w:r>
    </w:p>
    <w:p>
      <w:r>
        <w:rPr>
          <w:i w:val="0"/>
        </w:rPr>
        <w:t xml:space="preserve">On the computational side the mechanism is thermodynamic. A high-throughput density functional theory calculation evaluates a total energy at zero kelvin for a specified arrangement of atoms on specified crystallographic sites. Configurational entropy is absent from that calculation by construction. For a site shared by two species with fractional occupancies </w:t>
      </w:r>
      <m:oMath>
        <m:sSub>
          <m:e>
            <m:r>
              <m:t>x</m:t>
            </m:r>
          </m:e>
          <m:sub>
            <m:r>
              <m:t>α</m:t>
            </m:r>
          </m:sub>
        </m:sSub>
      </m:oMath>
      <w:r>
        <w:rPr>
          <w:i w:val="0"/>
        </w:rPr>
        <w:t xml:space="preserve">, the configurational entropy per site is </w:t>
      </w:r>
      <m:oMath>
        <m:r>
          <m:t>S=−</m:t>
        </m:r>
        <m:sSub>
          <m:e>
            <m:r>
              <m:t>k</m:t>
            </m:r>
          </m:e>
          <m:sub>
            <m:r>
              <m:t>B</m:t>
            </m:r>
          </m:sub>
        </m:sSub>
        <m:nary>
          <m:naryPr>
            <m:chr m:val="∑"/>
            <m:limLoc m:val="subSup"/>
            <m:grow m:val="1"/>
            <m:subHide m:val="off"/>
            <m:supHide m:val="on"/>
          </m:naryPr>
          <m:sub>
            <m:r>
              <m:t>α</m:t>
            </m:r>
          </m:sub>
          <m:sup/>
          <m:e>
            <m:sSub>
              <m:e>
                <m:r>
                  <m:t>x</m:t>
                </m:r>
              </m:e>
              <m:sub>
                <m:r>
                  <m:t>α</m:t>
                </m:r>
              </m:sub>
            </m:sSub>
          </m:e>
        </m:nary>
        <m:r>
          <m:rPr>
            <m:sty m:val="p"/>
          </m:rPr>
          <m:t>ln</m:t>
        </m:r>
        <m:sSub>
          <m:e>
            <m:r>
              <m:t>x</m:t>
            </m:r>
          </m:e>
          <m:sub>
            <m:r>
              <m:t>α</m:t>
            </m:r>
          </m:sub>
        </m:sSub>
      </m:oMath>
      <w:r>
        <w:rPr>
          <w:i w:val="0"/>
        </w:rPr>
        <w:t xml:space="preserve">, which is </w:t>
      </w:r>
      <m:oMath>
        <m:sSub>
          <m:e>
            <m:r>
              <m:t>k</m:t>
            </m:r>
          </m:e>
          <m:sub>
            <m:r>
              <m:t>B</m:t>
            </m:r>
          </m:sub>
        </m:sSub>
        <m:r>
          <m:rPr>
            <m:sty m:val="p"/>
          </m:rPr>
          <m:t>ln</m:t>
        </m:r>
        <m:r>
          <m:t>2</m:t>
        </m:r>
      </m:oMath>
      <w:r>
        <w:rPr>
          <w:i w:val="0"/>
        </w:rPr>
        <w:t xml:space="preserve"> for equal occupancy, so the free energy term </w:t>
      </w:r>
      <m:oMath>
        <m:r>
          <m:t>TS</m:t>
        </m:r>
      </m:oMath>
      <w:r>
        <w:rPr>
          <w:i w:val="0"/>
        </w:rPr>
        <w:t xml:space="preserve"> is about 0.06 eV per mixed site at a synthesis temperature of 1000 K. At zero kelvin an ordered arrangement therefore always wins, and a search over ordered candidates will systematically propose ordered versions of compounds that in the laboratory are known to be disordered. Robert G. Palgrave put it directly in Chemistry World in January 2024: "What they didn't realise is that two thirds of their entire predictions were just ordered versions of compounds that were already known to be disordered."</w:t>
      </w:r>
    </w:p>
    <w:p>
      <w:r>
        <w:rPr>
          <w:i w:val="0"/>
        </w:rPr>
        <w:t>On the experimental side the mechanism is instrumental. Rietveld refinement fits a calculated powder diffraction profile to a measured pattern by least squares over lattice parameters, site occupancies, thermal parameters and peak shape. When two species have similar X-ray scattering factors, an ordered and a disordered model of the same composition produce nearly identical calculated intensities, and the refinement will not separate them unless someone examines the residuals and asks. Palgrave described the A-Lab's automated refinement as "very bad, very beginner, completely novice human level", and said that this "led to them misidentifying things in some cases." Gerbrand Ceder, writing on LinkedIn in December 2023, did not dispute the quality but disputed the standard: "We have no doubt that a human can perform a higher-quality refinement on these samples. However, it was our objective to show what an autonomous laboratory can achieve, not to demonstrate what the best (or average) human can do externally to the A-Lab."</w:t>
      </w:r>
    </w:p>
    <w:p>
      <w:r>
        <w:rPr>
          <w:i w:val="0"/>
        </w:rPr>
        <w:t>The 2026 correction reports that on manual reanalysis the platform reached the correct conclusion in 36 of its 40 reported successes, with 4 inconclusive. That is the authors' own reanalysis, and a claim about whether the platform's decision procedure was right rather than about whether the compounds were new. Neither point is a criticism of the correction, which is unusually thorough. The episode belongs at the head of this chapter because it is legible: a specific claim, a specific challenge, a specific published revision, inside two years.</w:t>
      </w:r>
    </w:p>
    <w:p>
      <w:pPr>
        <w:pStyle w:val="BookSection"/>
      </w:pPr>
      <w:r>
        <w:t>An audit of seventeen fields</w:t>
      </w:r>
    </w:p>
    <w:p>
      <w:r>
        <w:rPr>
          <w:i w:val="0"/>
        </w:rPr>
        <w:t>The general form of the problem was mapped by Sayash Kapoor and Arvind Narayanan of Princeton University in Patterns in 2023. Surveying literature across fields that had adopted machine learning, Kapoor and Narayanan found data leakage documented in 17 fields, collectively affecting 294 papers, and organised the failures into a taxonomy of eight types. At one end sits the crude version, where the same record or a near-duplicate appears on both sides of the train and test split. In the middle sit illegitimate features, variables that encode the outcome and would not be available at prediction time. At the far end sits the category that concerns this book: a test set not drawn from the distribution of scientific interest. That last one is not a coding error. A pipeline can be implemented perfectly, with no record crossing the split, and still report a number that does not estimate the quantity anybody wants.</w:t>
      </w:r>
    </w:p>
    <w:p>
      <w:r>
        <w:rPr>
          <w:i w:val="0"/>
        </w:rPr>
        <w:t>The reproducibility case study attached to that survey shows how large the gap can be. Examining the literature on predicting civil war onset, Kapoor and Narayanan found that every paper claiming complex machine learning models outperform logistic regression failed to reproduce once data leakage was corrected, and that the decades-old logistic regression models performed comparably. The published gains were the leakage. Medicine supplies the same result at larger scale. Michael Roberts, Derek Driggs and colleagues in the AIX-COVNET collaboration at the University of Cambridge reviewed machine learning models for COVID-19 diagnosis and prognosis from chest radiographs and computed tomography in Nature Machine Intelligence in 2021. Their search identified 2,212 studies, 415 survived initial screening and 62 survived quality screening, and the review concluded that none of the models identified was of potential clinical use, because of methodological flaws, underlying biases, or both.</w:t>
      </w:r>
    </w:p>
    <w:p>
      <w:r>
        <w:rPr>
          <w:i w:val="0"/>
        </w:rPr>
        <w:t>The response in both cases was procedural rather than algorithmic: the REFORMS checklist, 32 questions in eight modules running from study goals through data leakage to metrics and generalizability, developed by Kapoor, Narayanan and seventeen coauthors by consensus among 19 researchers and published in Science Advances in 2024. Chemistry had produced its own version earlier, in a 2021 Nature Chemistry comment by Nongnuch Artrith, Keith T. Butler and colleagues on data provenance, model validation and reporting.</w:t>
      </w:r>
    </w:p>
    <w:p>
      <w:r>
        <w:rPr>
          <w:i w:val="0"/>
        </w:rPr>
        <w:t>One absence in the Kapoor and Narayanan catalogue is worth noting. The fields audited for leakage run from medicine and molecular biology through neuroimaging to computer security and software engineering; physics, chemistry and materials science do not appear. The audits below were conducted piecemeal, by domain specialists, one result at a time.</w:t>
      </w:r>
    </w:p>
    <w:p>
      <w:pPr>
        <w:pStyle w:val="BookSection"/>
      </w:pPr>
      <w:r>
        <w:t>What the benchmark measures</w:t>
      </w:r>
    </w:p>
    <w:p>
      <w:r>
        <w:rPr>
          <w:i w:val="0"/>
        </w:rPr>
        <w:t xml:space="preserve">The dominant target in materials machine learning is the energy above the convex hull. For a chemical system, the hull is the lower convex envelope of formation energy against composition over all competing phases, the discrete form of the common-tangent construction; a candidate is thermodynamically stable at zero kelvin when its formation energy lies on that envelope, so the quantity of interest is a distance </w:t>
      </w:r>
      <m:oMath>
        <m:r>
          <m:t>Δ</m:t>
        </m:r>
      </m:oMath>
      <w:r>
        <w:rPr>
          <w:i w:val="0"/>
        </w:rPr>
        <w:t xml:space="preserve"> above it and the decision is the threshold </w:t>
      </w:r>
      <m:oMath>
        <m:r>
          <m:t>Δ≤0</m:t>
        </m:r>
      </m:oMath>
      <w:r>
        <w:rPr>
          <w:i w:val="0"/>
        </w:rPr>
        <w:t>. The models, however, are trained as regressors and scored by mean absolute error over a held-out test set.</w:t>
      </w:r>
    </w:p>
    <w:p>
      <w:r>
        <w:rPr>
          <w:i w:val="0"/>
        </w:rPr>
        <w:t xml:space="preserve">That mismatch has a calculable cost. Write the model error as </w:t>
      </w:r>
      <m:oMath>
        <m:r>
          <m:t>δ=</m:t>
        </m:r>
        <m:acc>
          <m:accPr>
            <m:chr m:val="̂"/>
          </m:accPr>
          <m:e>
            <m:r>
              <m:t>E</m:t>
            </m:r>
          </m:e>
        </m:acc>
        <m:r>
          <m:t>−E</m:t>
        </m:r>
      </m:oMath>
      <w:r>
        <w:rPr>
          <w:i w:val="0"/>
        </w:rPr>
        <w:t xml:space="preserve">. Two densities enter, and must be kept apart. The candidate density </w:t>
      </w:r>
      <m:oMath>
        <m:r>
          <m:t>ρ(Δ)</m:t>
        </m:r>
      </m:oMath>
      <w:r>
        <w:rPr>
          <w:i w:val="0"/>
        </w:rPr>
        <w:t xml:space="preserve"> describes how the screened pool is distributed in true hull distance; it is a property of the pool, not of the model. The error density describes how </w:t>
      </w:r>
      <m:oMath>
        <m:r>
          <m:t>δ</m:t>
        </m:r>
      </m:oMath>
      <w:r>
        <w:rPr>
          <w:i w:val="0"/>
        </w:rPr>
        <w:t xml:space="preserve"> is distributed among candidates at a given true hull distance </w:t>
      </w:r>
      <m:oMath>
        <m:r>
          <m:t>Δ</m:t>
        </m:r>
      </m:oMath>
      <w:r>
        <w:rPr>
          <w:i w:val="0"/>
        </w:rPr>
        <w:t xml:space="preserve">, and it is a property of the model. A genuinely unstable candidate is reported as stable when </w:t>
      </w:r>
      <m:oMath>
        <m:r>
          <m:t>δ&lt;−Δ</m:t>
        </m:r>
      </m:oMath>
      <w:r>
        <w:rPr>
          <w:i w:val="0"/>
        </w:rPr>
        <w:t>, so the expected number of false positives among the unstable candidates is</w:t>
      </w:r>
    </w:p>
    <w:p>
      <w:pPr>
        <w:spacing w:before="200" w:after="200"/>
        <w:ind w:firstLine="0"/>
        <w:jc w:val="center"/>
        <w:contextualSpacing w:val="0"/>
      </w:pPr>
      <m:oMath>
        <m:sSub>
          <m:e>
            <m:r>
              <m:t>N</m:t>
            </m:r>
          </m:e>
          <m:sub>
            <m:r>
              <m:rPr>
                <m:sty m:val="p"/>
              </m:rPr>
              <m:t>FP</m:t>
            </m:r>
          </m:sub>
        </m:sSub>
        <m:r>
          <m:t>=N</m:t>
        </m:r>
        <m:nary>
          <m:naryPr>
            <m:chr m:val="∫"/>
            <m:limLoc m:val="subSup"/>
            <m:grow m:val="1"/>
            <m:subHide m:val="off"/>
            <m:supHide m:val="off"/>
          </m:naryPr>
          <m:sub>
            <m:r>
              <m:t>0</m:t>
            </m:r>
          </m:sub>
          <m:sup>
            <m:r>
              <m:t>∞</m:t>
            </m:r>
          </m:sup>
          <m:e>
            <m:r>
              <m:t>ρ(Δ)</m:t>
            </m:r>
          </m:e>
        </m:nary>
        <m:r>
          <m:t>Pr(δ&lt;−Δ∣Δ)</m:t>
        </m:r>
        <m:r>
          <m:t>dΔ.</m:t>
        </m:r>
      </m:oMath>
    </w:p>
    <w:p>
      <w:r>
        <w:rPr>
          <w:i w:val="0"/>
        </w:rPr>
        <w:t xml:space="preserve">The factor </w:t>
      </w:r>
      <m:oMath>
        <m:r>
          <m:t>Pr(δ&lt;−Δ∣Δ)</m:t>
        </m:r>
      </m:oMath>
      <w:r>
        <w:rPr>
          <w:i w:val="0"/>
        </w:rPr>
        <w:t xml:space="preserve"> decays over a scale set by the width of the error density, so only candidates within roughly that width of the boundary contribute anything. If the candidate density is smooth across that narrow window it can be replaced by </w:t>
      </w:r>
      <m:oMath>
        <m:r>
          <m:t>ρ(0)</m:t>
        </m:r>
      </m:oMath>
      <w:r>
        <w:rPr>
          <w:i w:val="0"/>
        </w:rPr>
        <w:t xml:space="preserve">, and if the error density is taken to be the same throughout the window, the remaining integral is </w:t>
      </w:r>
      <m:oMath>
        <m:nary>
          <m:naryPr>
            <m:chr m:val="∫"/>
            <m:limLoc m:val="subSup"/>
            <m:grow m:val="1"/>
            <m:subHide m:val="off"/>
            <m:supHide m:val="off"/>
          </m:naryPr>
          <m:sub>
            <m:r>
              <m:t>0</m:t>
            </m:r>
          </m:sub>
          <m:sup>
            <m:r>
              <m:t>∞</m:t>
            </m:r>
          </m:sup>
          <m:e>
            <m:r>
              <m:t>Pr(δ&lt;−Δ)</m:t>
            </m:r>
          </m:e>
        </m:nary>
        <m:r>
          <m:t>dΔ=𝔼[max(−δ,0)]</m:t>
        </m:r>
      </m:oMath>
      <w:r>
        <w:rPr>
          <w:i w:val="0"/>
        </w:rPr>
        <w:t>, the mean of the negative part of the error, which for a symmetric error distribution is half its mean absolute deviation. That gives</w:t>
      </w:r>
    </w:p>
    <w:p>
      <w:pPr>
        <w:spacing w:before="200" w:after="200"/>
        <w:ind w:firstLine="0"/>
        <w:jc w:val="center"/>
        <w:contextualSpacing w:val="0"/>
      </w:pPr>
      <m:oMath>
        <m:sSub>
          <m:e>
            <m:r>
              <m:t>N</m:t>
            </m:r>
          </m:e>
          <m:sub>
            <m:r>
              <m:rPr>
                <m:sty m:val="p"/>
              </m:rPr>
              <m:t>FP</m:t>
            </m:r>
          </m:sub>
        </m:sSub>
        <m:r>
          <m:t>≈</m:t>
        </m:r>
        <m:r>
          <m:t>N</m:t>
        </m:r>
        <m:r>
          <m:t>ρ(0)</m:t>
        </m:r>
        <m:f>
          <m:fPr>
            <m:type m:val="bar"/>
          </m:fPr>
          <m:num>
            <m:sSub>
              <m:e>
                <m:r>
                  <m:rPr>
                    <m:sty m:val="p"/>
                  </m:rPr>
                  <m:t>MAE</m:t>
                </m:r>
              </m:e>
              <m:sub>
                <m:r>
                  <m:t>0</m:t>
                </m:r>
              </m:sub>
            </m:sSub>
          </m:num>
          <m:den>
            <m:r>
              <m:t>2</m:t>
            </m:r>
          </m:den>
        </m:f>
        <m:r>
          <m:t>,</m:t>
        </m:r>
      </m:oMath>
    </w:p>
    <w:p>
      <w:r>
        <w:rPr>
          <w:i w:val="0"/>
        </w:rPr>
        <w:t xml:space="preserve">where </w:t>
      </w:r>
      <m:oMath>
        <m:sSub>
          <m:e>
            <m:r>
              <m:rPr>
                <m:sty m:val="p"/>
              </m:rPr>
              <m:t>MAE</m:t>
            </m:r>
          </m:e>
          <m:sub>
            <m:r>
              <m:t>0</m:t>
            </m:r>
          </m:sub>
        </m:sSub>
      </m:oMath>
      <w:r>
        <w:rPr>
          <w:i w:val="0"/>
        </w:rPr>
        <w:t xml:space="preserve"> is the mean absolute error of the model on candidates near the boundary, not on the test set as a whole.</w:t>
      </w:r>
    </w:p>
    <w:p>
      <w:r>
        <w:rPr>
          <w:i w:val="0"/>
        </w:rPr>
        <w:t xml:space="preserve">Two things follow, and they are independent of each other. The first is that the false-positive count scales with </w:t>
      </w:r>
      <m:oMath>
        <m:r>
          <m:t>ρ(0)</m:t>
        </m:r>
      </m:oMath>
      <w:r>
        <w:rPr>
          <w:i w:val="0"/>
        </w:rPr>
        <w:t>, the density of candidates sitting just above the hull. Screen a pool crowded near the boundary and the same model produces more false positives than on a sparse one, with no change to any score it reports. No distribution shift is involved; this is a property of what the model was pointed at.</w:t>
      </w:r>
    </w:p>
    <w:p>
      <w:r>
        <w:rPr>
          <w:i w:val="0"/>
        </w:rPr>
        <w:t xml:space="preserve">The second is that a leaderboard does not report </w:t>
      </w:r>
      <m:oMath>
        <m:sSub>
          <m:e>
            <m:r>
              <m:rPr>
                <m:sty m:val="p"/>
              </m:rPr>
              <m:t>MAE</m:t>
            </m:r>
          </m:e>
          <m:sub>
            <m:r>
              <m:t>0</m:t>
            </m:r>
          </m:sub>
        </m:sSub>
      </m:oMath>
      <w:r>
        <w:rPr>
          <w:i w:val="0"/>
        </w:rPr>
        <w:t xml:space="preserve">. It reports a global mean absolute error, averaged over a test set whose bulk sits far from the decision boundary. The two coincide only if the error density near the boundary matches the error density everywhere else. That is an assumption, and there is no reason to expect it to hold: error magnitude in these models varies with chemistry, with the local density of training data and with how well the competing phases were fitted, so the candidates in the narrow window that sets </w:t>
      </w:r>
      <m:oMath>
        <m:sSub>
          <m:e>
            <m:r>
              <m:t>N</m:t>
            </m:r>
          </m:e>
          <m:sub>
            <m:r>
              <m:rPr>
                <m:sty m:val="p"/>
              </m:rPr>
              <m:t>FP</m:t>
            </m:r>
          </m:sub>
        </m:sSub>
      </m:oMath>
      <w:r>
        <w:rPr>
          <w:i w:val="0"/>
        </w:rPr>
        <w:t xml:space="preserve"> are not a random sample of the test set. Once the error scale varies across the pool, the global average and the near-boundary left tail are free to move in opposite directions, and a model can improve its headline regression score by fitting the bulk more tightly while its precision at the boundary gets worse. That is the misalignment Janosh Riebesell, Rhys E. A. Goodall and colleagues formalised as Matbench Discovery, which scores models by classification metrics at the 0 eV per atom boundary rather than by regression error alone.</w:t>
      </w:r>
    </w:p>
    <w:p>
      <w:r>
        <w:rPr>
          <w:i w:val="0"/>
        </w:rPr>
        <w:t>The empirical version had been established earlier. Christopher J. Bartel, Amalie Trewartha and colleagues benchmarked seven models on 85,014 Materials Project compositions in 2020 and found that accurate formation-energy prediction does not imply accurate stability prediction; composition-only models, in the authors' phrase, "perform poorly on predicting the stability of compounds", while structural models substantially outperformed them, especially in sparse chemical spaces.</w:t>
      </w:r>
    </w:p>
    <w:p>
      <w:r>
        <w:rPr>
          <w:i w:val="0"/>
        </w:rPr>
        <w:t>Underneath all of it sits the reference data. Scott Kirklin, James E. Saal and colleagues at Northwestern University benchmarked the Open Quantum Materials Database against experiment in 2015 and found a mean absolute error between calculated and measured formation energies of 0.096 eV per atom, against 0.082 eV per atom between independent experimental measurements of the same quantity. The two are of the same order and the calculated error is slightly the larger; they are not equal. That 0.096 eV per atom is a scatter, an average deviation of no fixed sign, and it refers to absolute formation energies in that benchmark. Hull distances are differences between formation energies of chemically related phases, in which the systematic components of the density functional error partly cancel, which is why relative stability is predicted more accurately than absolute formation energy and why hull-distance errors below 0.1 eV per atom do not contradict the OQMD figure.</w:t>
      </w:r>
    </w:p>
    <w:p>
      <w:r>
        <w:rPr>
          <w:i w:val="0"/>
        </w:rPr>
        <w:t>The comparison with configurational entropy has to be made in those terms, and the point is not that one number is bigger than the other. The 0.06 eV per mixed site is not scatter. It is a directional shift, the same sign for every candidate with a mixed site, missing by construction rather than fluctuating around the right answer. A bias that size is undetectable against a scatter of 0.1 eV per atom on any single compound. Across a screening campaign it does not average away, because it displaces every disordered phase in the same direction relative to its ordered counterpart. A systematic term well below the noise floor still misranks the whole candidate list, which is the failure Leeman, Schoop, Palgrave and coauthors documented.</w:t>
      </w:r>
    </w:p>
    <w:p>
      <w:r>
        <w:rPr>
          <w:i w:val="0"/>
        </w:rPr>
        <w:t>The extrapolation problem was named separately, and early. Bryce Meredig, Erin Antono and colleagues introduced leave-one-cluster-out cross-validation in 2018, with superconducting critical temperature as the test case: partition the data into clusters in representation space, hold out an entire cluster, train on the remainder. A random split leaves a chemical near-neighbour of every test point in the training set, so the reported score measures interpolation. Removing a whole cluster forces the model to predict into a chemically distinct region, which is what discovery requires, and the scores fall.</w:t>
      </w:r>
    </w:p>
    <w:p>
      <w:r>
        <w:rPr>
          <w:i w:val="0"/>
        </w:rPr>
        <w:t>Later work made this quantitative. Kangming Li, Brian DeCost and colleagues showed in 2023 that models trained on the 2018 release of the Materials Project degraded severely on compounds added by the 2021 release. Standard benchmark scores did not reveal the degradation, but two cheap diagnostics anticipated it: coverage analysis in representation space, and disagreement between independently trained models. The same year, Li, Daniel Persaud and coauthors found that up to 95 percent of entries could be removed from several large materials property datasets with little impact on in-distribution accuracy, the redundancy reflecting over-represented material types; nor had the discarded entries been mitigating out-of-distribution degradation. Then in 2025, Li, Andre Niyongabo Rubungo and coauthors examined more than 700 heuristically defined out-of-distribution tasks involving unseen chemistry or symmetry, and found that in most the test data lay inside regions already well covered by training. The tasks labelled extrapolation were measuring interpolation. For the minority genuinely out of domain, more training data or longer training had marginal or adverse effects, contrary to the scaling behaviour assumed elsewhere in machine learning.</w:t>
      </w:r>
    </w:p>
    <w:p>
      <w:pPr>
        <w:pStyle w:val="BookSection"/>
      </w:pPr>
      <w:r>
        <w:t>Two superconductors</w:t>
      </w:r>
    </w:p>
    <w:p>
      <w:r>
        <w:rPr>
          <w:i w:val="0"/>
        </w:rPr>
        <w:t>Nothing in the preceding section involves fabrication. The next two episodes calibrate the verification layer against which all of it has to be read, and both were claims about a phase transition. On 26 September 2022 Nature retracted "Room-temperature superconductivity in a carbonaceous sulfur hydride", published in 2020 by Elliot Snider, Nathan Dasenbrock-Gammon, Ranga P. Dias and coauthors, Dias being at the University of Rochester. The retraction note stated that the background-subtraction procedure used to generate the magnetic susceptibility plots was non-standard, user-defined, unspecified in the paper, and of questioned validity, undermining confidence in the published susceptibility data as a whole. Independently, Dirk van der Marel and Jorge E. Hirsch concluded that those background-corrected data were pathological, were not obtained by the method described nor by three alternatives the authors later supplied, and that the data labelled measured voltage were not raw. On 7 November 2023 Nature retracted a second paper, on a nitrogen-doped lutetium hydride, at the request of eight of its eleven authors, who stated that it did not accurately reflect the provenance of the materials, the measurements undertaken, or the data-processing protocols applied. Ranga P. Dias was among those who did not state agreement. A confidential 124-page investigation report from the University of Rochester, which Nature's news team discovered in court documents from a lawsuit, concluded that data fabrication, falsification and plagiarism had occurred. In November 2024 the university confirmed that Dias is no longer employed there.</w:t>
      </w:r>
    </w:p>
    <w:p>
      <w:r>
        <w:rPr>
          <w:i w:val="0"/>
        </w:rPr>
        <w:t>Speaking to Physics World in October 2023, before the second retraction, physicists identified what the episode had cost. Lilia Boeri of Sapienza University of Rome said the behaviour "has harmed the reputation of the field and it may take a few years to repair the damage." James Hamlin of the University of Florida called the saga "damaging to science in general, and superconductivity research more so", and argued that all coauthors should be privy to editors' communications about misconduct allegations from the beginning. David Ceperley of the University of Illinois, who had refereed, made the observation most relevant here: "We were only provided with the accepted manuscript and not the data files or referee comments." Peer review did not inspect the object that failed.</w:t>
      </w:r>
    </w:p>
    <w:p>
      <w:r>
        <w:rPr>
          <w:i w:val="0"/>
        </w:rPr>
        <w:t>The second episode ran the other way. On 22 July 2023 Sukbae Lee, Ji-Hoon Kim and Young-Wan Kwon posted a preprint claiming the first room-temperature ambient-pressure superconductor, with a critical temperature at or above 400 K in a copper-substituted lead apatite, attributed to a 0.48 percent volume shrinkage producing minute structural distortion. Within roughly three weeks the claim had been resolved by distributed replication, an account of which Dan Garisto published in Nature on 16 August 2023. Prashant K. Jain of the University of Illinois Urbana-Champaign noted that copper(I) sulfide has a known transition at 104 degrees Celsius, about 377 K, from an ordered phase to a superionic one, coinciding with the reported resistivity drop. Shilin Zhu, Wei Wu, Zheng Li and Jianlin Luo at the Institute of Physics of the Chinese Academy of Sciences traced the apparent drop to a first-order structural transition of a Cu</w:t>
      </w:r>
      <m:oMath>
        <m:sSub>
          <m:e>
            <m:r>
              <m:t/>
            </m:r>
          </m:e>
          <m:sub>
            <m:r>
              <m:t>2</m:t>
            </m:r>
          </m:sub>
        </m:sSub>
      </m:oMath>
      <w:r>
        <w:rPr>
          <w:i w:val="0"/>
        </w:rPr>
        <w:t>S impurity from hexagonal to monoclinic near 385 K, with no sample showing zero resistance. Kapil Kumar, Navneet Kumar Karn, Yogesh Kumar and V. P. S. Awana at CSIR-National Physical Laboratory found phase-pure Pb</w:t>
      </w:r>
      <m:oMath>
        <m:sSub>
          <m:e>
            <m:r>
              <m:t/>
            </m:r>
          </m:e>
          <m:sub>
            <m:r>
              <m:t>9</m:t>
            </m:r>
          </m:sub>
        </m:sSub>
      </m:oMath>
      <w:r>
        <w:rPr>
          <w:i w:val="0"/>
        </w:rPr>
        <w:t>Cu(PO</w:t>
      </w:r>
      <m:oMath>
        <m:sSub>
          <m:e>
            <m:r>
              <m:t/>
            </m:r>
          </m:e>
          <m:sub>
            <m:r>
              <m:t>4</m:t>
            </m:r>
          </m:sub>
        </m:sSub>
      </m:oMath>
      <w:r>
        <w:rPr>
          <w:i w:val="0"/>
        </w:rPr>
        <w:t>)</w:t>
      </w:r>
      <m:oMath>
        <m:sSub>
          <m:e>
            <m:r>
              <m:t/>
            </m:r>
          </m:e>
          <m:sub>
            <m:r>
              <m:t>6</m:t>
            </m:r>
          </m:sub>
        </m:sSub>
      </m:oMath>
      <w:r>
        <w:rPr>
          <w:i w:val="0"/>
        </w:rPr>
        <w:t>O insulator-like across 215 to 325 K, with only a diamagnetic response. Pascal Puphal, Matthias Hepting and colleagues at the Max Planck Institute for Solid State Research grew single crystals of Pb</w:t>
      </w:r>
      <m:oMath>
        <m:sSub>
          <m:e>
            <m:r>
              <m:t/>
            </m:r>
          </m:e>
          <m:sub>
            <m:r>
              <m:t>10−x</m:t>
            </m:r>
          </m:sub>
        </m:sSub>
      </m:oMath>
      <w:r>
        <w:rPr>
          <w:i w:val="0"/>
        </w:rPr>
        <w:t>Cu</w:t>
      </w:r>
      <m:oMath>
        <m:sSub>
          <m:e>
            <m:r>
              <m:t/>
            </m:r>
          </m:e>
          <m:sub>
            <m:r>
              <m:t>x</m:t>
            </m:r>
          </m:sub>
        </m:sSub>
      </m:oMath>
      <w:r>
        <w:rPr>
          <w:i w:val="0"/>
        </w:rPr>
        <w:t>(PO</w:t>
      </w:r>
      <m:oMath>
        <m:sSub>
          <m:e>
            <m:r>
              <m:t/>
            </m:r>
          </m:e>
          <m:sub>
            <m:r>
              <m:t>4</m:t>
            </m:r>
          </m:sub>
        </m:sSub>
      </m:oMath>
      <w:r>
        <w:rPr>
          <w:i w:val="0"/>
        </w:rPr>
        <w:t>)</w:t>
      </w:r>
      <m:oMath>
        <m:sSub>
          <m:e>
            <m:r>
              <m:t/>
            </m:r>
          </m:e>
          <m:sub>
            <m:r>
              <m:t>6</m:t>
            </m:r>
          </m:sub>
        </m:sSub>
      </m:oMath>
      <w:r>
        <w:rPr>
          <w:i w:val="0"/>
        </w:rPr>
        <w:t>O by the travelling-solvent floating-zone method, which proved transparent and highly insulating.</w:t>
      </w:r>
    </w:p>
    <w:p>
      <w:r>
        <w:rPr>
          <w:i w:val="0"/>
        </w:rPr>
        <w:t>The difference in resolution time is not a difference in the quality of the claims. LK-99 went from preprint to a settled community answer in about three weeks. The carbonaceous sulfur hydride paper stood for two years between publication and retraction, and the fuller account emerged later still, out of court filings. The two intervals are not strictly comparable, preprint to consensus against publication to formal retraction, but no reweighting closes a gap that size. What separates them is the cost of checking. LK-99 was a powder any solid-state group could make in a week. Megabar measurements in a diamond anvil cell are made in a handful of laboratories, and the raw data were not released.</w:t>
      </w:r>
    </w:p>
    <w:p>
      <w:pPr>
        <w:pStyle w:val="BookSection"/>
      </w:pPr>
      <w:r>
        <w:t>Two kinds of failure</w:t>
      </w:r>
    </w:p>
    <w:p>
      <w:r>
        <w:rPr>
          <w:i w:val="0"/>
        </w:rPr>
        <w:t>Set the fabrication cases aside and take the machine learning failures on their own. Leakage, metric misalignment and dataset redundancy are not three versions of one disease, and collapsing them costs the sharper of the two available claims.</w:t>
      </w:r>
    </w:p>
    <w:p>
      <w:r>
        <w:rPr>
          <w:i w:val="0"/>
        </w:rPr>
        <w:t>Metric misalignment is a defect that survives at zero distribution shift. The arithmetic above assumed nothing about training and test sets being differently distributed. The reported statistic and the deployed statistic are different functions of the same distribution, and the candidate density at the boundary enters one and not the other. Validate a model on data drawn from exactly the deployment distribution and the leaderboard number still will not say what the discovery precision is. The remedy is not more or better-matched data; it is reporting the other statistic.</w:t>
      </w:r>
    </w:p>
    <w:p>
      <w:r>
        <w:rPr>
          <w:i w:val="0"/>
        </w:rPr>
        <w:t>The second family is about coverage. Leakage, dataset redundancy and mislabelled out-of-distribution tasks all cause a validation set to certify less than it appears to. Leakage does it by putting a near-copy of the test point in the training set. Mislabelled tasks do it by calling something extrapolation when the coverage analysis says otherwise, which is what Li and coauthors found in most of their 700. Redundancy does it by another route: their earlier result is not that a redundant dataset gives a biased estimate, but that dataset size is a poor proxy for information content, so a nominally large training set can certify a much narrower region of chemistry than its size suggests. In all three the held-out data sit closer to the training data than the deployment target does, and the error the validation set fails to report grows with that distance. Under interpolation it is bounded, because a near-neighbour of every query is somewhere in the data. Discovery removes that bound by definition, since a phase nobody has made is a region nobody has sampled. Most documented failures in this literature reduce to a version of one family or the other, and the two want different fixes.</w:t>
      </w:r>
    </w:p>
    <w:p>
      <w:r>
        <w:rPr>
          <w:i w:val="0"/>
        </w:rPr>
        <w:t>Robert Geirhos, Jörn-Henrik Jacobsen and colleagues named the general version of the second family shortcut learning in 2020: rules that succeed on standard benchmarks and fail to transfer to more demanding conditions. Sebastian Lapuschkin, Stephan Wäldchen and colleagues had shown the year before, using explanation methods on high-accuracy classifiers, that models exploit spurious artefacts rather than the intended signal, in what the authors called Clever Hans behaviour, and that standard metrics cannot tell that apart from genuine problem solving.</w:t>
      </w:r>
    </w:p>
    <w:p>
      <w:r>
        <w:rPr>
          <w:i w:val="0"/>
        </w:rPr>
        <w:t>For phase transitions specifically there is a stronger statement available. Julian Arnold and Frank Schäfer derived analytical expressions for the optimal output of three widely used neural-network methods of detecting phase transitions, and showed that in the high-capacity limit each computes a determinate function of the input data. The reason is decision-theoretic, not architectural: a sufficiently expressive model minimising a proper loss converges to the Bayes-optimal predictor, a fixed functional of the data distribution, so the trained network estimates a statistic obtainable directly. Arnold and Schäfer accordingly located phase transitions in the data without training any network, which bounds how much of what such a network reports can be called novel physics.</w:t>
      </w:r>
    </w:p>
    <w:p>
      <w:r>
        <w:rPr>
          <w:i w:val="0"/>
        </w:rPr>
        <w:t>The reporting that would let an outsider judge is often absent as well. Milad Abolhasani of North Carolina State University, in Chemistry World in May 2024: "We were surprised when we did the literature search that 95% of papers on self-driving labs did not report how long they could run the platform before it broke down."</w:t>
      </w:r>
    </w:p>
    <w:p>
      <w:r>
        <w:rPr>
          <w:i w:val="0"/>
        </w:rPr>
        <w:t>Which returns to the arithmetic of checking. Amil Merchant, Simon Batzner and colleagues reported in Nature in 2023, under the name Graph Networks for Materials Exploration, 2.2 million structures below the current convex hull, of which roughly 380,000 lie on the final hull. Anthony K. Cheetham and Ram Seshadri audited it by sampling: of ten entries taken at random from the 384,870-entry stable structure database, all ten were already in the Inorganic Crystal Structure Database. The space-group distribution is unlike anything a crystallographer would expect. Pnma and P2</w:t>
      </w:r>
      <m:oMath>
        <m:sSub>
          <m:e>
            <m:r>
              <m:t/>
            </m:r>
          </m:e>
          <m:sub>
            <m:r>
              <m:t>1</m:t>
            </m:r>
          </m:sub>
        </m:sSub>
      </m:oMath>
      <w:r>
        <w:rPr>
          <w:i w:val="0"/>
        </w:rPr>
        <w:t>/c together account for roughly 16 percent of ICSD structures, about 8 percent each, yet Pnma ranks only sixteenth in the GNoME set at 1.56 percent; the four commonest GNoME space groups are all non-centrosymmetric and cover about 34 percent of entries, whereas the ICSD's top 24 contain a single non-centrosymmetric group, at 1 percent of structures. They also counted 18,138 compounds containing promethium, actinium or protactinium and 23,529 containing technetium, neptunium or plutonium, and found "scant evidence for compounds that fulfill the trifecta of novelty, credibility, and utility".</w:t>
      </w:r>
    </w:p>
    <w:p>
      <w:r>
        <w:rPr>
          <w:i w:val="0"/>
        </w:rPr>
        <w:t>The Nature paper also states that 736 of the stable structures have already been independently experimentally realised. It is a peer-reviewed number, and no third party has audited it. The A-Lab, running continuously for seventeen days, attempted 57 syntheses. The scale of the claim and the throughput of the checking are separated by more than three orders of magnitude, and nothing in the literature says which of the two the word discovery is meant to track.</w:t>
      </w:r>
    </w:p>
    <w:p>
      <w:pPr>
        <w:pStyle w:val="Heading1"/>
      </w:pPr>
      <w:r>
        <w:t>References</w:t>
      </w:r>
    </w:p>
    <w:p>
      <w:pPr>
        <w:spacing w:before="120" w:after="0"/>
        <w:ind w:firstLine="0"/>
      </w:pPr>
      <w:r>
        <w:rPr>
          <w:i w:val="0"/>
        </w:rPr>
        <w:t xml:space="preserve">Arnold, Schäfer (2022). Physical Review X 12, 031044. </w:t>
      </w:r>
      <w:hyperlink r:id="rId63">
        <w:r>
          <w:rPr>
            <w:rStyle w:val="Hyperlink"/>
          </w:rPr>
          <w:t xml:space="preserve">https://doi.org/10.1103/PhysRevX.12.031044</w:t>
        </w:r>
      </w:hyperlink>
    </w:p>
    <w:p>
      <w:pPr>
        <w:spacing w:before="120" w:after="0"/>
        <w:ind w:firstLine="0"/>
      </w:pPr>
      <w:r>
        <w:rPr>
          <w:i w:val="0"/>
        </w:rPr>
        <w:t xml:space="preserve">Artrith, Butler, Coudert, Han, Isayev, Jain, Walsh (2021). Nature Chemistry 13(6), 505-508. </w:t>
      </w:r>
      <w:hyperlink r:id="rId64">
        <w:r>
          <w:rPr>
            <w:rStyle w:val="Hyperlink"/>
          </w:rPr>
          <w:t xml:space="preserve">https://doi.org/10.1038/s41557-021-00716-z</w:t>
        </w:r>
      </w:hyperlink>
    </w:p>
    <w:p>
      <w:pPr>
        <w:spacing w:before="120" w:after="0"/>
        <w:ind w:firstLine="0"/>
      </w:pPr>
      <w:r>
        <w:rPr>
          <w:i w:val="0"/>
        </w:rPr>
        <w:t xml:space="preserve">Banks (2023). Superconductivity "damaged" as researchers look to move on from retractions. Physics World, 20 October 2023. </w:t>
      </w:r>
      <w:hyperlink r:id="rId65">
        <w:r>
          <w:rPr>
            <w:rStyle w:val="Hyperlink"/>
          </w:rPr>
          <w:t xml:space="preserve">https://physicsworld.com/a/superconductivity-damaged-as-researchers-look-to-move-on-from-retractions/</w:t>
        </w:r>
      </w:hyperlink>
    </w:p>
    <w:p>
      <w:pPr>
        <w:spacing w:before="120" w:after="0"/>
        <w:ind w:firstLine="0"/>
      </w:pPr>
      <w:r>
        <w:rPr>
          <w:i w:val="0"/>
        </w:rPr>
        <w:t xml:space="preserve">Bartel, Trewartha, Wang, Dunn, Jain, Ceder (2020). npj Computational Materials 6, 97. </w:t>
      </w:r>
      <w:hyperlink r:id="rId66">
        <w:r>
          <w:rPr>
            <w:rStyle w:val="Hyperlink"/>
          </w:rPr>
          <w:t xml:space="preserve">https://doi.org/10.1038/s41524-020-00362-y</w:t>
        </w:r>
      </w:hyperlink>
    </w:p>
    <w:p>
      <w:pPr>
        <w:spacing w:before="120" w:after="0"/>
        <w:ind w:firstLine="0"/>
      </w:pPr>
      <w:r>
        <w:rPr>
          <w:i w:val="0"/>
        </w:rPr>
        <w:t xml:space="preserve">Cheetham, Seshadri (2024). Chemistry of Materials 36(8), 3490-3495. </w:t>
      </w:r>
      <w:hyperlink r:id="rId67">
        <w:r>
          <w:rPr>
            <w:rStyle w:val="Hyperlink"/>
          </w:rPr>
          <w:t xml:space="preserve">https://doi.org/10.1021/acs.chemmater.4c00643</w:t>
        </w:r>
      </w:hyperlink>
    </w:p>
    <w:p>
      <w:pPr>
        <w:spacing w:before="120" w:after="0"/>
        <w:ind w:firstLine="0"/>
      </w:pPr>
      <w:r>
        <w:rPr>
          <w:i w:val="0"/>
        </w:rPr>
        <w:t xml:space="preserve">Dasenbrock-Gammon, Snider, McBride, Pasan, Durkee, Khalvashi-Sutter, Munasinghe, Dissanayake, Lawler, Salamat, Dias (2023). Nature 624(7991), 460 (Retraction Note). </w:t>
      </w:r>
      <w:hyperlink r:id="rId68">
        <w:r>
          <w:rPr>
            <w:rStyle w:val="Hyperlink"/>
          </w:rPr>
          <w:t xml:space="preserve">https://doi.org/10.1038/s41586-023-06774-2</w:t>
        </w:r>
      </w:hyperlink>
    </w:p>
    <w:p>
      <w:pPr>
        <w:spacing w:before="120" w:after="0"/>
        <w:ind w:firstLine="0"/>
      </w:pPr>
      <w:r>
        <w:rPr>
          <w:i w:val="0"/>
        </w:rPr>
        <w:t xml:space="preserve">Garisto (2023). Nature 620, 705-706. </w:t>
      </w:r>
      <w:hyperlink r:id="rId69">
        <w:r>
          <w:rPr>
            <w:rStyle w:val="Hyperlink"/>
          </w:rPr>
          <w:t xml:space="preserve">https://doi.org/10.1038/d41586-023-02585-7</w:t>
        </w:r>
      </w:hyperlink>
    </w:p>
    <w:p>
      <w:pPr>
        <w:spacing w:before="120" w:after="0"/>
        <w:ind w:firstLine="0"/>
      </w:pPr>
      <w:r>
        <w:rPr>
          <w:i w:val="0"/>
        </w:rPr>
        <w:t xml:space="preserve">Garisto (2024). Exclusive: official investigation reveals how superconductivity physicist faked blockbuster results. Nature news feature, April 2024. </w:t>
      </w:r>
      <w:hyperlink r:id="rId70">
        <w:r>
          <w:rPr>
            <w:rStyle w:val="Hyperlink"/>
          </w:rPr>
          <w:t xml:space="preserve">https://doi.org/10.1038/d41586-024-00976-y</w:t>
        </w:r>
      </w:hyperlink>
    </w:p>
    <w:p>
      <w:pPr>
        <w:spacing w:before="120" w:after="0"/>
        <w:ind w:firstLine="0"/>
      </w:pPr>
      <w:r>
        <w:rPr>
          <w:i w:val="0"/>
        </w:rPr>
        <w:t xml:space="preserve">Geirhos, Jacobsen, Michaelis, Zemel, Brendel, Bethge, Wichmann (2020). Nature Machine Intelligence 2, 665-673. </w:t>
      </w:r>
      <w:hyperlink r:id="rId71">
        <w:r>
          <w:rPr>
            <w:rStyle w:val="Hyperlink"/>
          </w:rPr>
          <w:t xml:space="preserve">https://doi.org/10.1038/s42256-020-00257-z</w:t>
        </w:r>
      </w:hyperlink>
    </w:p>
    <w:p>
      <w:pPr>
        <w:spacing w:before="120" w:after="0"/>
        <w:ind w:firstLine="0"/>
      </w:pPr>
      <w:r>
        <w:rPr>
          <w:i w:val="0"/>
        </w:rPr>
        <w:t xml:space="preserve">Jain (2023). Superionic Phase Transition of Copper(I) Sulfide and Its Implication for Purported Superconductivity of LK-99. The Journal of Physical Chemistry C 127(37), 18253-18255. </w:t>
      </w:r>
      <w:hyperlink r:id="rId72">
        <w:r>
          <w:rPr>
            <w:rStyle w:val="Hyperlink"/>
          </w:rPr>
          <w:t xml:space="preserve">https://doi.org/10.1021/acs.jpcc.3c05684</w:t>
        </w:r>
      </w:hyperlink>
    </w:p>
    <w:p>
      <w:pPr>
        <w:spacing w:before="120" w:after="0"/>
        <w:ind w:firstLine="0"/>
      </w:pPr>
      <w:r>
        <w:rPr>
          <w:i w:val="0"/>
        </w:rPr>
        <w:t xml:space="preserve">Kapoor, Cantrell, Peng, Pham, Bail, Gundersen, Hofman, Hullman, Lones, Malik, Nanayakkara, Poldrack, Raji, Roberts, Salganik, Serra-Garcia, Stewart, Vandewiele, Narayanan (2024). Science Advances 10(18), eadk3452. </w:t>
      </w:r>
      <w:hyperlink r:id="rId73">
        <w:r>
          <w:rPr>
            <w:rStyle w:val="Hyperlink"/>
          </w:rPr>
          <w:t xml:space="preserve">https://doi.org/10.1126/sciadv.adk3452</w:t>
        </w:r>
      </w:hyperlink>
    </w:p>
    <w:p>
      <w:pPr>
        <w:spacing w:before="120" w:after="0"/>
        <w:ind w:firstLine="0"/>
      </w:pPr>
      <w:r>
        <w:rPr>
          <w:i w:val="0"/>
        </w:rPr>
        <w:t xml:space="preserve">Kapoor, Narayanan (2023). Patterns 4(9), article 100804. </w:t>
      </w:r>
      <w:hyperlink r:id="rId74">
        <w:r>
          <w:rPr>
            <w:rStyle w:val="Hyperlink"/>
          </w:rPr>
          <w:t xml:space="preserve">https://doi.org/10.1016/j.patter.2023.100804</w:t>
        </w:r>
      </w:hyperlink>
    </w:p>
    <w:p>
      <w:pPr>
        <w:spacing w:before="120" w:after="0"/>
        <w:ind w:firstLine="0"/>
      </w:pPr>
      <w:r>
        <w:rPr>
          <w:i w:val="0"/>
        </w:rPr>
        <w:t xml:space="preserve">Kapoor, Narayanan (2023). Project website accompanying the Patterns paper. </w:t>
      </w:r>
      <w:hyperlink r:id="rId75">
        <w:r>
          <w:rPr>
            <w:rStyle w:val="Hyperlink"/>
          </w:rPr>
          <w:t xml:space="preserve">https://reproducible.cs.princeton.edu/</w:t>
        </w:r>
      </w:hyperlink>
    </w:p>
    <w:p>
      <w:pPr>
        <w:spacing w:before="120" w:after="0"/>
        <w:ind w:firstLine="0"/>
      </w:pPr>
      <w:r>
        <w:rPr>
          <w:i w:val="0"/>
        </w:rPr>
        <w:t xml:space="preserve">Kirklin, Saal, Meredig, Thompson, Doak, Aykol, Rühl, Wolverton (2015). npj Computational Materials 1, 15010. </w:t>
      </w:r>
      <w:hyperlink r:id="rId76">
        <w:r>
          <w:rPr>
            <w:rStyle w:val="Hyperlink"/>
          </w:rPr>
          <w:t xml:space="preserve">https://doi.org/10.1038/npjcompumats.2015.10</w:t>
        </w:r>
      </w:hyperlink>
    </w:p>
    <w:p>
      <w:pPr>
        <w:spacing w:before="120" w:after="0"/>
        <w:ind w:firstLine="0"/>
      </w:pPr>
      <w:r>
        <w:rPr>
          <w:i w:val="0"/>
        </w:rPr>
        <w:t xml:space="preserve">Kumar, Karn, Kumar, Awana (2023). ACS Omega 8(44), 41737-41743. </w:t>
      </w:r>
      <w:hyperlink r:id="rId77">
        <w:r>
          <w:rPr>
            <w:rStyle w:val="Hyperlink"/>
          </w:rPr>
          <w:t xml:space="preserve">https://doi.org/10.1021/acsomega.3c06096</w:t>
        </w:r>
      </w:hyperlink>
    </w:p>
    <w:p>
      <w:pPr>
        <w:spacing w:before="120" w:after="0"/>
        <w:ind w:firstLine="0"/>
      </w:pPr>
      <w:r>
        <w:rPr>
          <w:i w:val="0"/>
        </w:rPr>
        <w:t xml:space="preserve">Lapuschkin, Wäldchen, Binder, Montavon, Samek, Müller (2019). Nature Communications 10, article 1096. </w:t>
      </w:r>
      <w:hyperlink r:id="rId78">
        <w:r>
          <w:rPr>
            <w:rStyle w:val="Hyperlink"/>
          </w:rPr>
          <w:t xml:space="preserve">https://doi.org/10.1038/s41467-019-08987-4</w:t>
        </w:r>
      </w:hyperlink>
    </w:p>
    <w:p>
      <w:pPr>
        <w:spacing w:before="120" w:after="0"/>
        <w:ind w:firstLine="0"/>
      </w:pPr>
      <w:r>
        <w:rPr>
          <w:i w:val="0"/>
        </w:rPr>
        <w:t xml:space="preserve">Lee, Kim, Kwon (2023). arXiv preprint 2307.12008. </w:t>
      </w:r>
      <w:hyperlink r:id="rId79">
        <w:r>
          <w:rPr>
            <w:rStyle w:val="Hyperlink"/>
          </w:rPr>
          <w:t xml:space="preserve">https://arxiv.org/abs/2307.12008</w:t>
        </w:r>
      </w:hyperlink>
    </w:p>
    <w:p>
      <w:pPr>
        <w:spacing w:before="120" w:after="0"/>
        <w:ind w:firstLine="0"/>
      </w:pPr>
      <w:r>
        <w:rPr>
          <w:i w:val="0"/>
        </w:rPr>
        <w:t xml:space="preserve">Leeman, Liu, Stiles, Lee, Bhatt, Schoop, Palgrave (2024). PRX Energy 3(1), 011002. </w:t>
      </w:r>
      <w:hyperlink r:id="rId80">
        <w:r>
          <w:rPr>
            <w:rStyle w:val="Hyperlink"/>
          </w:rPr>
          <w:t xml:space="preserve">https://doi.org/10.1103/PRXEnergy.3.011002</w:t>
        </w:r>
      </w:hyperlink>
    </w:p>
    <w:p>
      <w:pPr>
        <w:spacing w:before="120" w:after="0"/>
        <w:ind w:firstLine="0"/>
      </w:pPr>
      <w:r>
        <w:rPr>
          <w:i w:val="0"/>
        </w:rPr>
        <w:t xml:space="preserve">Li, DeCost, Choudhary, Greenwood, Hattrick-Simpers (2023). npj Computational Materials 9, article 55. </w:t>
      </w:r>
      <w:hyperlink r:id="rId81">
        <w:r>
          <w:rPr>
            <w:rStyle w:val="Hyperlink"/>
          </w:rPr>
          <w:t xml:space="preserve">https://doi.org/10.1038/s41524-023-01012-9</w:t>
        </w:r>
      </w:hyperlink>
    </w:p>
    <w:p>
      <w:pPr>
        <w:spacing w:before="120" w:after="0"/>
        <w:ind w:firstLine="0"/>
      </w:pPr>
      <w:r>
        <w:rPr>
          <w:i w:val="0"/>
        </w:rPr>
        <w:t xml:space="preserve">Li, Persaud, Choudhary, DeCost, Greenwood, Hattrick-Simpers (2023). Nature Communications 14, article 7283. </w:t>
      </w:r>
      <w:hyperlink r:id="rId82">
        <w:r>
          <w:rPr>
            <w:rStyle w:val="Hyperlink"/>
          </w:rPr>
          <w:t xml:space="preserve">https://doi.org/10.1038/s41467-023-42992-y</w:t>
        </w:r>
      </w:hyperlink>
    </w:p>
    <w:p>
      <w:pPr>
        <w:spacing w:before="120" w:after="0"/>
        <w:ind w:firstLine="0"/>
      </w:pPr>
      <w:r>
        <w:rPr>
          <w:i w:val="0"/>
        </w:rPr>
        <w:t xml:space="preserve">Li, Rubungo, Lei, Persaud, Choudhary, DeCost, Dieng, Hattrick-Simpers (2025). Communications Materials 6, article 9. </w:t>
      </w:r>
      <w:hyperlink r:id="rId83">
        <w:r>
          <w:rPr>
            <w:rStyle w:val="Hyperlink"/>
          </w:rPr>
          <w:t xml:space="preserve">https://doi.org/10.1038/s43246-024-00731-w</w:t>
        </w:r>
      </w:hyperlink>
    </w:p>
    <w:p>
      <w:pPr>
        <w:spacing w:before="120" w:after="0"/>
        <w:ind w:firstLine="0"/>
      </w:pPr>
      <w:r>
        <w:rPr>
          <w:i w:val="0"/>
        </w:rPr>
        <w:t xml:space="preserve">Merchant, Batzner, Schoenholz, Aykol, Cheon, Cubuk (2023). Scaling deep learning for materials discovery. Nature 624, 80-85. </w:t>
      </w:r>
      <w:hyperlink r:id="rId84">
        <w:r>
          <w:rPr>
            <w:rStyle w:val="Hyperlink"/>
          </w:rPr>
          <w:t xml:space="preserve">https://doi.org/10.1038/s41586-023-06735-9</w:t>
        </w:r>
      </w:hyperlink>
    </w:p>
    <w:p>
      <w:pPr>
        <w:spacing w:before="120" w:after="0"/>
        <w:ind w:firstLine="0"/>
      </w:pPr>
      <w:r>
        <w:rPr>
          <w:i w:val="0"/>
        </w:rPr>
        <w:t xml:space="preserve">Meredig, Antono, Church, Hutchinson, Ling, Paradiso, Blaiszik, Foster, Gibbons, Hattrick-Simpers, Mehta, Ward (2018). Molecular Systems Design &amp; Engineering 3(5), 819-825. </w:t>
      </w:r>
      <w:hyperlink r:id="rId85">
        <w:r>
          <w:rPr>
            <w:rStyle w:val="Hyperlink"/>
          </w:rPr>
          <w:t xml:space="preserve">https://doi.org/10.1039/C8ME00012C</w:t>
        </w:r>
      </w:hyperlink>
    </w:p>
    <w:p>
      <w:pPr>
        <w:spacing w:before="120" w:after="0"/>
        <w:ind w:firstLine="0"/>
      </w:pPr>
      <w:r>
        <w:rPr>
          <w:i w:val="0"/>
        </w:rPr>
        <w:t xml:space="preserve">Nature news (2024). Superconductivity researcher who committed misconduct exits university. </w:t>
      </w:r>
      <w:hyperlink r:id="rId86">
        <w:r>
          <w:rPr>
            <w:rStyle w:val="Hyperlink"/>
          </w:rPr>
          <w:t xml:space="preserve">https://www.nature.com/articles/d41586-024-03796-2</w:t>
        </w:r>
      </w:hyperlink>
    </w:p>
    <w:p>
      <w:pPr>
        <w:spacing w:before="120" w:after="0"/>
        <w:ind w:firstLine="0"/>
      </w:pPr>
      <w:r>
        <w:rPr>
          <w:i w:val="0"/>
        </w:rPr>
        <w:t xml:space="preserve">Palgrave, Ceder (2024). New analysis raises doubts over autonomous lab's materials "discoveries". Chemistry World news report, 16 January 2024. </w:t>
      </w:r>
      <w:hyperlink r:id="rId87">
        <w:r>
          <w:rPr>
            <w:rStyle w:val="Hyperlink"/>
          </w:rPr>
          <w:t xml:space="preserve">https://www.chemistryworld.com/news/new-analysis-raises-doubts-over-autonomous-labs-materials-discoveries/4018791.article</w:t>
        </w:r>
      </w:hyperlink>
    </w:p>
    <w:p>
      <w:pPr>
        <w:spacing w:before="120" w:after="0"/>
        <w:ind w:firstLine="0"/>
      </w:pPr>
      <w:r>
        <w:rPr>
          <w:i w:val="0"/>
        </w:rPr>
        <w:t xml:space="preserve">Puphal, Akbar, Hepting, Goering, Isobe, Nugroho, Keimer (2023). APL Materials 11(10), 101128. </w:t>
      </w:r>
      <w:hyperlink r:id="rId88">
        <w:r>
          <w:rPr>
            <w:rStyle w:val="Hyperlink"/>
          </w:rPr>
          <w:t xml:space="preserve">https://doi.org/10.1063/5.0172755</w:t>
        </w:r>
      </w:hyperlink>
    </w:p>
    <w:p>
      <w:pPr>
        <w:spacing w:before="120" w:after="0"/>
        <w:ind w:firstLine="0"/>
      </w:pPr>
      <w:r>
        <w:rPr>
          <w:i w:val="0"/>
        </w:rPr>
        <w:t xml:space="preserve">Riebesell, Goodall, Benner, Chiang, Deng, Ceder, Asta, Lee, Jain, Persson (2025). Nature Machine Intelligence 7, 836-847. </w:t>
      </w:r>
      <w:hyperlink r:id="rId89">
        <w:r>
          <w:rPr>
            <w:rStyle w:val="Hyperlink"/>
          </w:rPr>
          <w:t xml:space="preserve">https://doi.org/10.1038/s42256-025-01055-1</w:t>
        </w:r>
      </w:hyperlink>
    </w:p>
    <w:p>
      <w:pPr>
        <w:spacing w:before="120" w:after="0"/>
        <w:ind w:firstLine="0"/>
      </w:pPr>
      <w:r>
        <w:rPr>
          <w:i w:val="0"/>
        </w:rPr>
        <w:t xml:space="preserve">Roberts, Driggs, Thorpe, Gilbey, Yeung, Ursprung, Aviles-Rivero, Etmann and colleagues (2021). Nature Machine Intelligence 3, 199-217. </w:t>
      </w:r>
      <w:hyperlink r:id="rId90">
        <w:r>
          <w:rPr>
            <w:rStyle w:val="Hyperlink"/>
          </w:rPr>
          <w:t xml:space="preserve">https://doi.org/10.1038/s42256-021-00307-0</w:t>
        </w:r>
      </w:hyperlink>
    </w:p>
    <w:p>
      <w:pPr>
        <w:spacing w:before="120" w:after="0"/>
        <w:ind w:firstLine="0"/>
      </w:pPr>
      <w:r>
        <w:rPr>
          <w:i w:val="0"/>
        </w:rPr>
        <w:t xml:space="preserve">Robinson, Abolhasani (2024). Are we rushing ahead with AI in the lab? Chemistry World news feature, 2 May 2024. </w:t>
      </w:r>
      <w:hyperlink r:id="rId91">
        <w:r>
          <w:rPr>
            <w:rStyle w:val="Hyperlink"/>
          </w:rPr>
          <w:t xml:space="preserve">https://www.chemistryworld.com/news/are-we-rushing-ahead-with-ai-in-the-lab/4019424.article</w:t>
        </w:r>
      </w:hyperlink>
    </w:p>
    <w:p>
      <w:pPr>
        <w:spacing w:before="120" w:after="0"/>
        <w:ind w:firstLine="0"/>
      </w:pPr>
      <w:r>
        <w:rPr>
          <w:i w:val="0"/>
        </w:rPr>
        <w:t xml:space="preserve">Snider, Dasenbrock-Gammon, McBride, Debessai, Vindana, Vencatasamy, Lawler, Salamat, Dias (2022). Nature 610(7933), 804 (Retraction Note). </w:t>
      </w:r>
      <w:hyperlink r:id="rId92">
        <w:r>
          <w:rPr>
            <w:rStyle w:val="Hyperlink"/>
          </w:rPr>
          <w:t xml:space="preserve">https://doi.org/10.1038/s41586-022-05294-9</w:t>
        </w:r>
      </w:hyperlink>
    </w:p>
    <w:p>
      <w:pPr>
        <w:spacing w:before="120" w:after="0"/>
        <w:ind w:firstLine="0"/>
      </w:pPr>
      <w:r>
        <w:rPr>
          <w:i w:val="0"/>
        </w:rPr>
        <w:t xml:space="preserve">Szymanski, Ceder and coauthors (2026). Author Correction: An autonomous laboratory for the accelerated synthesis of inorganic materials. Nature 650(8100), E1. </w:t>
      </w:r>
      <w:hyperlink r:id="rId93">
        <w:r>
          <w:rPr>
            <w:rStyle w:val="Hyperlink"/>
          </w:rPr>
          <w:t xml:space="preserve">https://doi.org/10.1038/s41586-025-09992-y</w:t>
        </w:r>
      </w:hyperlink>
    </w:p>
    <w:p>
      <w:pPr>
        <w:spacing w:before="120" w:after="0"/>
        <w:ind w:firstLine="0"/>
      </w:pPr>
      <w:r>
        <w:rPr>
          <w:i w:val="0"/>
        </w:rPr>
        <w:t xml:space="preserve">Szymanski, Rendy, Fei, Kumar, He, Milsted, McDermott, Gallant, Cubuk, Merchant, Kim, Jain, Bartel, Persson, Zeng, Ceder (2023). An autonomous laboratory for the accelerated synthesis of inorganic materials. Nature 624(7990), 86-91. </w:t>
      </w:r>
      <w:hyperlink r:id="rId94">
        <w:r>
          <w:rPr>
            <w:rStyle w:val="Hyperlink"/>
          </w:rPr>
          <w:t xml:space="preserve">https://doi.org/10.1038/s41586-023-06734-w</w:t>
        </w:r>
      </w:hyperlink>
    </w:p>
    <w:p>
      <w:pPr>
        <w:spacing w:before="120" w:after="0"/>
        <w:ind w:firstLine="0"/>
      </w:pPr>
      <w:r>
        <w:rPr>
          <w:i w:val="0"/>
        </w:rPr>
        <w:t xml:space="preserve">van der Marel, Hirsch (2023). Room-temperature superconductivity, or not? Comment on Nature 586, 373 (2020) by E. Snider et al. International Journal of Modern Physics B 37(04), 2375001. </w:t>
      </w:r>
      <w:hyperlink r:id="rId95">
        <w:r>
          <w:rPr>
            <w:rStyle w:val="Hyperlink"/>
          </w:rPr>
          <w:t xml:space="preserve">https://doi.org/10.1142/S0217979223750012</w:t>
        </w:r>
      </w:hyperlink>
    </w:p>
    <w:p>
      <w:pPr>
        <w:spacing w:before="120" w:after="0"/>
        <w:ind w:firstLine="0"/>
      </w:pPr>
      <w:r>
        <w:rPr>
          <w:i w:val="0"/>
        </w:rPr>
        <w:t xml:space="preserve">Zhu, Wu, Li, Luo (2023). Matter 6(12), 4401-4407. </w:t>
      </w:r>
      <w:hyperlink r:id="rId96">
        <w:r>
          <w:rPr>
            <w:rStyle w:val="Hyperlink"/>
          </w:rPr>
          <w:t xml:space="preserve">https://doi.org/10.1016/j.matt.2023.11.001</w:t>
        </w:r>
      </w:hyperlink>
    </w:p>
    <w:sectPr w:rsidR="007C37E4" w:rsidRPr="008E070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8B5B96"/>
    <w:multiLevelType w:val="hybridMultilevel"/>
    <w:tmpl w:val="C0AC22F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672072D2"/>
    <w:multiLevelType w:val="multilevel"/>
    <w:tmpl w:val="4F26E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0319588">
    <w:abstractNumId w:val="1"/>
  </w:num>
  <w:num w:numId="2" w16cid:durableId="6585061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693E"/>
    <w:rsid w:val="000059B6"/>
    <w:rsid w:val="00011D75"/>
    <w:rsid w:val="0009176D"/>
    <w:rsid w:val="001300C4"/>
    <w:rsid w:val="003E438B"/>
    <w:rsid w:val="0061693E"/>
    <w:rsid w:val="006E401A"/>
    <w:rsid w:val="00777342"/>
    <w:rsid w:val="007C37E4"/>
    <w:rsid w:val="008E0704"/>
    <w:rsid w:val="00B53BBD"/>
    <w:rsid w:val="00C40D96"/>
    <w:rsid w:val="00DA562F"/>
    <w:rsid w:val="00F31A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7CF657"/>
  <w15:chartTrackingRefBased/>
  <w15:docId w15:val="{295E243A-8DB0-4905-B258-D9314E8119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562F"/>
    <w:pPr>
      <w:keepNext/>
      <w:keepLines/>
      <w:spacing w:before="360" w:after="80" w:line="240" w:lineRule="auto"/>
      <w:ind w:firstLine="720"/>
      <w:contextualSpacing/>
      <w:outlineLvl w:val="0"/>
    </w:pPr>
    <w:rPr>
      <w:rFonts w:ascii="Garamond" w:eastAsiaTheme="majorEastAsia" w:hAnsi="Garamond" w:cstheme="majorBidi"/>
    </w:rPr>
  </w:style>
  <w:style w:type="paragraph" w:styleId="Heading1">
    <w:name w:val="heading 1"/>
    <w:basedOn w:val="Normal"/>
    <w:next w:val="Normal"/>
    <w:link w:val="Heading1Char"/>
    <w:uiPriority w:val="9"/>
    <w:qFormat/>
    <w:rsid w:val="003E438B"/>
    <w:pPr>
      <w:ind w:firstLine="0"/>
      <w:jc w:val="center"/>
    </w:pPr>
    <w:rPr>
      <w:b/>
      <w:bCs/>
      <w:sz w:val="48"/>
      <w:szCs w:val="48"/>
    </w:rPr>
  </w:style>
  <w:style w:type="paragraph" w:styleId="Heading2">
    <w:name w:val="heading 2"/>
    <w:basedOn w:val="Normal"/>
    <w:next w:val="Normal"/>
    <w:link w:val="Heading2Char"/>
    <w:uiPriority w:val="9"/>
    <w:semiHidden/>
    <w:unhideWhenUsed/>
    <w:qFormat/>
    <w:rsid w:val="0061693E"/>
    <w:pPr>
      <w:spacing w:before="160"/>
      <w:outlineLvl w:val="1"/>
    </w:pPr>
    <w:rPr>
      <w:rFonts w:asciiTheme="majorHAnsi" w:hAnsiTheme="majorHAnsi"/>
      <w:color w:val="0F4761" w:themeColor="accent1" w:themeShade="BF"/>
      <w:sz w:val="32"/>
      <w:szCs w:val="32"/>
    </w:rPr>
  </w:style>
  <w:style w:type="paragraph" w:styleId="Heading3">
    <w:name w:val="heading 3"/>
    <w:basedOn w:val="Normal"/>
    <w:next w:val="Normal"/>
    <w:link w:val="Heading3Char"/>
    <w:uiPriority w:val="9"/>
    <w:unhideWhenUsed/>
    <w:qFormat/>
    <w:rsid w:val="0061693E"/>
    <w:pPr>
      <w:spacing w:before="160"/>
      <w:outlineLvl w:val="2"/>
    </w:pPr>
    <w:rPr>
      <w:color w:val="0F4761" w:themeColor="accent1" w:themeShade="BF"/>
      <w:sz w:val="28"/>
      <w:szCs w:val="28"/>
    </w:rPr>
  </w:style>
  <w:style w:type="paragraph" w:styleId="Heading4">
    <w:name w:val="heading 4"/>
    <w:basedOn w:val="Normal"/>
    <w:next w:val="Normal"/>
    <w:link w:val="Heading4Char"/>
    <w:uiPriority w:val="9"/>
    <w:semiHidden/>
    <w:unhideWhenUsed/>
    <w:qFormat/>
    <w:rsid w:val="0061693E"/>
    <w:pPr>
      <w:spacing w:before="80" w:after="40"/>
      <w:outlineLvl w:val="3"/>
    </w:pPr>
    <w:rPr>
      <w:i/>
      <w:iCs/>
      <w:color w:val="0F4761" w:themeColor="accent1" w:themeShade="BF"/>
    </w:rPr>
  </w:style>
  <w:style w:type="paragraph" w:styleId="Heading5">
    <w:name w:val="heading 5"/>
    <w:basedOn w:val="Normal"/>
    <w:next w:val="Normal"/>
    <w:link w:val="Heading5Char"/>
    <w:uiPriority w:val="9"/>
    <w:semiHidden/>
    <w:unhideWhenUsed/>
    <w:qFormat/>
    <w:rsid w:val="0061693E"/>
    <w:pPr>
      <w:spacing w:before="80" w:after="40"/>
      <w:outlineLvl w:val="4"/>
    </w:pPr>
    <w:rPr>
      <w:color w:val="0F4761" w:themeColor="accent1" w:themeShade="BF"/>
    </w:rPr>
  </w:style>
  <w:style w:type="paragraph" w:styleId="Heading6">
    <w:name w:val="heading 6"/>
    <w:basedOn w:val="Normal"/>
    <w:next w:val="Normal"/>
    <w:link w:val="Heading6Char"/>
    <w:uiPriority w:val="9"/>
    <w:semiHidden/>
    <w:unhideWhenUsed/>
    <w:qFormat/>
    <w:rsid w:val="0061693E"/>
    <w:pPr>
      <w:spacing w:before="40" w:after="0"/>
      <w:outlineLvl w:val="5"/>
    </w:pPr>
    <w:rPr>
      <w:i/>
      <w:iCs/>
      <w:color w:val="595959" w:themeColor="text1" w:themeTint="A6"/>
    </w:rPr>
  </w:style>
  <w:style w:type="paragraph" w:styleId="Heading7">
    <w:name w:val="heading 7"/>
    <w:basedOn w:val="Normal"/>
    <w:next w:val="Normal"/>
    <w:link w:val="Heading7Char"/>
    <w:uiPriority w:val="9"/>
    <w:semiHidden/>
    <w:unhideWhenUsed/>
    <w:qFormat/>
    <w:rsid w:val="0061693E"/>
    <w:pPr>
      <w:spacing w:before="40" w:after="0"/>
      <w:outlineLvl w:val="6"/>
    </w:pPr>
    <w:rPr>
      <w:color w:val="595959" w:themeColor="text1" w:themeTint="A6"/>
    </w:rPr>
  </w:style>
  <w:style w:type="paragraph" w:styleId="Heading8">
    <w:name w:val="heading 8"/>
    <w:basedOn w:val="Normal"/>
    <w:next w:val="Normal"/>
    <w:link w:val="Heading8Char"/>
    <w:uiPriority w:val="9"/>
    <w:semiHidden/>
    <w:unhideWhenUsed/>
    <w:qFormat/>
    <w:rsid w:val="0061693E"/>
    <w:pPr>
      <w:spacing w:after="0"/>
      <w:outlineLvl w:val="7"/>
    </w:pPr>
    <w:rPr>
      <w:i/>
      <w:iCs/>
      <w:color w:val="272727" w:themeColor="text1" w:themeTint="D8"/>
    </w:rPr>
  </w:style>
  <w:style w:type="paragraph" w:styleId="Heading9">
    <w:name w:val="heading 9"/>
    <w:basedOn w:val="Normal"/>
    <w:next w:val="Normal"/>
    <w:link w:val="Heading9Char"/>
    <w:uiPriority w:val="9"/>
    <w:semiHidden/>
    <w:unhideWhenUsed/>
    <w:qFormat/>
    <w:rsid w:val="0061693E"/>
    <w:pPr>
      <w:spacing w:after="0"/>
      <w:outlineLvl w:val="8"/>
    </w:pPr>
    <w:rPr>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438B"/>
    <w:rPr>
      <w:rFonts w:ascii="Garamond" w:eastAsiaTheme="majorEastAsia" w:hAnsi="Garamond" w:cstheme="majorBidi"/>
      <w:b/>
      <w:bCs/>
      <w:sz w:val="48"/>
      <w:szCs w:val="48"/>
    </w:rPr>
  </w:style>
  <w:style w:type="character" w:customStyle="1" w:styleId="Heading2Char">
    <w:name w:val="Heading 2 Char"/>
    <w:basedOn w:val="DefaultParagraphFont"/>
    <w:link w:val="Heading2"/>
    <w:uiPriority w:val="9"/>
    <w:semiHidden/>
    <w:rsid w:val="006169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169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69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69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69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69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69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693E"/>
    <w:rPr>
      <w:rFonts w:eastAsiaTheme="majorEastAsia" w:cstheme="majorBidi"/>
      <w:color w:val="272727" w:themeColor="text1" w:themeTint="D8"/>
    </w:rPr>
  </w:style>
  <w:style w:type="paragraph" w:styleId="Title">
    <w:name w:val="Title"/>
    <w:basedOn w:val="Normal"/>
    <w:next w:val="Normal"/>
    <w:link w:val="TitleChar"/>
    <w:uiPriority w:val="10"/>
    <w:qFormat/>
    <w:rsid w:val="00777342"/>
    <w:pPr>
      <w:jc w:val="center"/>
    </w:pPr>
    <w:rPr>
      <w:spacing w:val="-10"/>
      <w:kern w:val="28"/>
      <w:sz w:val="96"/>
      <w:szCs w:val="96"/>
    </w:rPr>
  </w:style>
  <w:style w:type="character" w:customStyle="1" w:styleId="TitleChar">
    <w:name w:val="Title Char"/>
    <w:basedOn w:val="DefaultParagraphFont"/>
    <w:link w:val="Title"/>
    <w:uiPriority w:val="10"/>
    <w:rsid w:val="00777342"/>
    <w:rPr>
      <w:rFonts w:ascii="Garamond" w:eastAsiaTheme="majorEastAsia" w:hAnsi="Garamond" w:cstheme="majorBidi"/>
      <w:b/>
      <w:bCs/>
      <w:spacing w:val="-10"/>
      <w:kern w:val="28"/>
      <w:sz w:val="96"/>
      <w:szCs w:val="96"/>
    </w:rPr>
  </w:style>
  <w:style w:type="paragraph" w:styleId="Subtitle">
    <w:name w:val="Subtitle"/>
    <w:basedOn w:val="Normal"/>
    <w:next w:val="Normal"/>
    <w:link w:val="SubtitleChar"/>
    <w:uiPriority w:val="11"/>
    <w:qFormat/>
    <w:rsid w:val="0061693E"/>
    <w:pPr>
      <w:numPr>
        <w:ilvl w:val="1"/>
      </w:numPr>
    </w:pPr>
    <w:rPr>
      <w:color w:val="595959" w:themeColor="text1" w:themeTint="A6"/>
      <w:spacing w:val="15"/>
      <w:sz w:val="28"/>
      <w:szCs w:val="28"/>
    </w:rPr>
  </w:style>
  <w:style w:type="character" w:customStyle="1" w:styleId="SubtitleChar">
    <w:name w:val="Subtitle Char"/>
    <w:basedOn w:val="DefaultParagraphFont"/>
    <w:link w:val="Subtitle"/>
    <w:uiPriority w:val="11"/>
    <w:rsid w:val="006169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693E"/>
    <w:pPr>
      <w:spacing w:before="160"/>
      <w:jc w:val="center"/>
    </w:pPr>
    <w:rPr>
      <w:i/>
      <w:iCs/>
      <w:color w:val="404040" w:themeColor="text1" w:themeTint="BF"/>
    </w:rPr>
  </w:style>
  <w:style w:type="character" w:customStyle="1" w:styleId="QuoteChar">
    <w:name w:val="Quote Char"/>
    <w:basedOn w:val="DefaultParagraphFont"/>
    <w:link w:val="Quote"/>
    <w:uiPriority w:val="29"/>
    <w:rsid w:val="0061693E"/>
    <w:rPr>
      <w:i/>
      <w:iCs/>
      <w:color w:val="404040" w:themeColor="text1" w:themeTint="BF"/>
    </w:rPr>
  </w:style>
  <w:style w:type="paragraph" w:styleId="ListParagraph">
    <w:name w:val="List Paragraph"/>
    <w:basedOn w:val="Normal"/>
    <w:uiPriority w:val="34"/>
    <w:qFormat/>
    <w:rsid w:val="0061693E"/>
    <w:pPr>
      <w:ind w:left="720"/>
    </w:pPr>
  </w:style>
  <w:style w:type="character" w:styleId="IntenseEmphasis">
    <w:name w:val="Intense Emphasis"/>
    <w:basedOn w:val="DefaultParagraphFont"/>
    <w:uiPriority w:val="21"/>
    <w:qFormat/>
    <w:rsid w:val="0061693E"/>
    <w:rPr>
      <w:i/>
      <w:iCs/>
      <w:color w:val="0F4761" w:themeColor="accent1" w:themeShade="BF"/>
    </w:rPr>
  </w:style>
  <w:style w:type="paragraph" w:styleId="IntenseQuote">
    <w:name w:val="Intense Quote"/>
    <w:basedOn w:val="Normal"/>
    <w:next w:val="Normal"/>
    <w:link w:val="IntenseQuoteChar"/>
    <w:uiPriority w:val="30"/>
    <w:qFormat/>
    <w:rsid w:val="0061693E"/>
    <w:pPr>
      <w:pBdr>
        <w:top w:val="single" w:sz="4" w:space="10" w:color="0F4761" w:themeColor="accent1" w:themeShade="BF"/>
        <w:bottom w:val="single" w:sz="4" w:space="10" w:color="0F4761" w:themeColor="accent1" w:themeShade="BF"/>
      </w:pBdr>
      <w:spacing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693E"/>
    <w:rPr>
      <w:i/>
      <w:iCs/>
      <w:color w:val="0F4761" w:themeColor="accent1" w:themeShade="BF"/>
    </w:rPr>
  </w:style>
  <w:style w:type="character" w:styleId="IntenseReference">
    <w:name w:val="Intense Reference"/>
    <w:basedOn w:val="DefaultParagraphFont"/>
    <w:uiPriority w:val="32"/>
    <w:qFormat/>
    <w:rsid w:val="0061693E"/>
    <w:rPr>
      <w:b/>
      <w:bCs/>
      <w:smallCaps/>
      <w:color w:val="0F4761" w:themeColor="accent1" w:themeShade="BF"/>
      <w:spacing w:val="5"/>
    </w:rPr>
  </w:style>
  <w:style w:type="paragraph" w:customStyle="1" w:styleId="msonormal0">
    <w:name w:val="msonormal"/>
    <w:basedOn w:val="Normal"/>
    <w:rsid w:val="0061693E"/>
    <w:pPr>
      <w:spacing w:before="100" w:beforeAutospacing="1" w:after="100" w:afterAutospacing="1"/>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61693E"/>
    <w:pPr>
      <w:spacing w:before="100" w:beforeAutospacing="1" w:after="100" w:afterAutospacing="1"/>
    </w:pPr>
    <w:rPr>
      <w:rFonts w:ascii="Times New Roman" w:eastAsia="Times New Roman" w:hAnsi="Times New Roman" w:cs="Times New Roman"/>
      <w:kern w:val="0"/>
      <w14:ligatures w14:val="none"/>
    </w:rPr>
  </w:style>
  <w:style w:type="character" w:customStyle="1" w:styleId="math-inline">
    <w:name w:val="math-inline"/>
    <w:basedOn w:val="DefaultParagraphFont"/>
    <w:rsid w:val="0061693E"/>
  </w:style>
  <w:style w:type="character" w:styleId="Hyperlink">
    <w:name w:val="Hyperlink"/>
    <w:basedOn w:val="DefaultParagraphFont"/>
    <w:uiPriority w:val="99"/>
    <w:unhideWhenUsed/>
    <w:rsid w:val="0061693E"/>
    <w:rPr>
      <w:color w:val="0000FF"/>
      <w:u w:val="single"/>
    </w:rPr>
  </w:style>
  <w:style w:type="character" w:styleId="FollowedHyperlink">
    <w:name w:val="FollowedHyperlink"/>
    <w:basedOn w:val="DefaultParagraphFont"/>
    <w:uiPriority w:val="99"/>
    <w:semiHidden/>
    <w:unhideWhenUsed/>
    <w:rsid w:val="0061693E"/>
    <w:rPr>
      <w:color w:val="800080"/>
      <w:u w:val="single"/>
    </w:rPr>
  </w:style>
  <w:style w:type="character" w:styleId="UnresolvedMention">
    <w:name w:val="Unresolved Mention"/>
    <w:basedOn w:val="DefaultParagraphFont"/>
    <w:uiPriority w:val="99"/>
    <w:semiHidden/>
    <w:unhideWhenUsed/>
    <w:rsid w:val="0061693E"/>
    <w:rPr>
      <w:color w:val="605E5C"/>
      <w:shd w:val="clear" w:color="auto" w:fill="E1DFDD"/>
    </w:rPr>
  </w:style>
  <w:style w:type="paragraph" w:customStyle="1" w:styleId="BookSection">
    <w:name w:val="BookSection"/>
    <w:basedOn w:val="Normal"/>
    <w:pPr>
      <w:keepNext/>
      <w:spacing w:before="320" w:after="80"/>
      <w:ind w:firstLine="0"/>
    </w:pPr>
    <w:rPr>
      <w:rFonts w:ascii="Garamond" w:hAnsi="Garamond"/>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amazon.com/dp/B0FG1WRVBB" TargetMode="External"/><Relationship Id="rId18" Type="http://schemas.openxmlformats.org/officeDocument/2006/relationships/hyperlink" Target="https://www.amazon.com/Thinking-Web-Berners-Lee-G%C3%B6del-Turing/dp/0471768146?ref_=ast_author_dp_rw&amp;dib=eyJ2IjoiMSJ9.PL9qoZpKEjkVUnUQYCo8gjOTGNvdhoYh3mBdDjp4RmhwBYORkKAtbsZ8ZG9fGPVAJCbVpES-Sz-vDHOYVEG0k7JJYtNNTNp1e6cmtQVEVZmxscnMrukGf9EfiPj4NMC8AsuevcHeJ0kXvoje8MrlbLoicsb1SDw66aQ-gheTweWb6ubN_5eesJOLhuz1k9OWOgIjzWmb9dBLXsiWHK18HMI_RS00unEqGXy_38AosVU.E8nXpnJ7EDYfNfzn56mnLQLoRb1LWR_gQRZ4KSi8jzs&amp;dib_tag=AUTHOR" TargetMode="External"/><Relationship Id="rId26" Type="http://schemas.openxmlformats.org/officeDocument/2006/relationships/hyperlink" Target="https://doi.org/10.2475/ajs.s3-16.96.441" TargetMode="External"/><Relationship Id="rId39" Type="http://schemas.openxmlformats.org/officeDocument/2006/relationships/hyperlink" Target="https://doi.org/10.1063/1.1744102" TargetMode="External"/><Relationship Id="rId21" Type="http://schemas.openxmlformats.org/officeDocument/2006/relationships/hyperlink" Target="https://www.amazon.com/Video-Producing-Internet-Broadband-Technologies/dp/0201703149?ref_=ast_author_dp_rw&amp;dib=eyJ2IjoiMSJ9.PL9qoZpKEjkVUnUQYCo8gjOTGNvdhoYh3mBdDjp4RmhwBYORkKAtbsZ8ZG9fGPVAJCbVpES-Sz-vDHOYVEG0k7JJYtNNTNp1e6cmtQVEVZmxscnMrukGf9EfiPj4NMC8AsuevcHeJ0kXvoje8MrlbLoicsb1SDw66aQ-gheTweWb6ubN_5eesJOLhuz1k9OWOgIjzWmb9dBLXsiWHK18HMI_RS00unEqGXy_38AosVU.E8nXpnJ7EDYfNfzn56mnLQLoRb1LWR_gQRZ4KSi8jzs&amp;dib_tag=AUTHOR" TargetMode="External"/><Relationship Id="rId34" Type="http://schemas.openxmlformats.org/officeDocument/2006/relationships/hyperlink" Target="https://doi.org/10.1103/PhysRev.65.117" TargetMode="External"/><Relationship Id="rId42" Type="http://schemas.openxmlformats.org/officeDocument/2006/relationships/hyperlink" Target="https://doi.org/10.1063/1.1734338" TargetMode="External"/><Relationship Id="rId47" Type="http://schemas.openxmlformats.org/officeDocument/2006/relationships/hyperlink" Target="https://doi.org/10.1103/PhysRevB.4.3174" TargetMode="External"/><Relationship Id="rId50" Type="http://schemas.openxmlformats.org/officeDocument/2006/relationships/hyperlink" Target="https://doi.org/10.1103/RevModPhys.46.597" TargetMode="External"/><Relationship Id="rId55" Type="http://schemas.openxmlformats.org/officeDocument/2006/relationships/hyperlink" Target="https://doi.org/10.1038/nphys4037" TargetMode="External"/><Relationship Id="rId7" Type="http://schemas.openxmlformats.org/officeDocument/2006/relationships/hyperlink" Target="https://www.amazon.com/dp/B0FF2RXNSH" TargetMode="External"/><Relationship Id="rId2" Type="http://schemas.openxmlformats.org/officeDocument/2006/relationships/styles" Target="styles.xml"/><Relationship Id="rId16" Type="http://schemas.openxmlformats.org/officeDocument/2006/relationships/hyperlink" Target="https://www.amazon.com/dp/B0F8667YMW" TargetMode="External"/><Relationship Id="rId29" Type="http://schemas.openxmlformats.org/officeDocument/2006/relationships/hyperlink" Target="https://arxiv.org/abs/1612.03062" TargetMode="External"/><Relationship Id="rId11" Type="http://schemas.openxmlformats.org/officeDocument/2006/relationships/hyperlink" Target="https://www.amazon.com/dp/B0FKRHJNKV" TargetMode="External"/><Relationship Id="rId24" Type="http://schemas.openxmlformats.org/officeDocument/2006/relationships/image" Target="media/image2.svg"/><Relationship Id="rId32" Type="http://schemas.openxmlformats.org/officeDocument/2006/relationships/hyperlink" Target="https://doi.org/10.1007/BF02980577" TargetMode="External"/><Relationship Id="rId37" Type="http://schemas.openxmlformats.org/officeDocument/2006/relationships/hyperlink" Target="https://doi.org/10.1103/PhysRev.87.404" TargetMode="External"/><Relationship Id="rId40" Type="http://schemas.openxmlformats.org/officeDocument/2006/relationships/hyperlink" Target="https://jetp.ras.ru/cgi-bin/e/index/e/9/3/p571?a=list" TargetMode="External"/><Relationship Id="rId45" Type="http://schemas.openxmlformats.org/officeDocument/2006/relationships/hyperlink" Target="https://doi.org/10.1103/PhysicsPhysiqueFizika.2.263" TargetMode="External"/><Relationship Id="rId53" Type="http://schemas.openxmlformats.org/officeDocument/2006/relationships/hyperlink" Target="https://doi.org/10.1038/nphys4035" TargetMode="External"/><Relationship Id="rId58" Type="http://schemas.openxmlformats.org/officeDocument/2006/relationships/hyperlink" Target="https://doi.org/10.1103/PhysRevB.97.174435" TargetMode="External"/><Relationship Id="rId5" Type="http://schemas.openxmlformats.org/officeDocument/2006/relationships/hyperlink" Target="https://www.hpeteralesso.com/" TargetMode="External"/><Relationship Id="rId61" Type="http://schemas.openxmlformats.org/officeDocument/2006/relationships/fontTable" Target="fontTable.xml"/><Relationship Id="rId19" Type="http://schemas.openxmlformats.org/officeDocument/2006/relationships/hyperlink" Target="https://www.amazon.com/Developing-Semantic-Services-H-Peter-Alesso-ebook/dp/B07YYNL4KT?ref_=ast_author_dp_rw&amp;dib=eyJ2IjoiMSJ9.PL9qoZpKEjkVUnUQYCo8gjOTGNvdhoYh3mBdDjp4RmhwBYORkKAtbsZ8ZG9fGPVAJCbVpES-Sz-vDHOYVEG0k7JJYtNNTNp1e6cmtQVEVZmxscnMrukGf9EfiPj4NMC8AsuevcHeJ0kXvoje8MrlbLoicsb1SDw66aQ-gheTweWb6ubN_5eesJOLhuz1k9OWOgIjzWmb9dBLXsiWHK18HMI_RS00unEqGXy_38AosVU.E8nXpnJ7EDYfNfzn56mnLQLoRb1LWR_gQRZ4KSi8jzs&amp;dib_tag=AUTHOR" TargetMode="External"/><Relationship Id="rId14" Type="http://schemas.openxmlformats.org/officeDocument/2006/relationships/hyperlink" Target="https://www.amazon.com/dp/B0FCV28PMM" TargetMode="External"/><Relationship Id="rId22" Type="http://schemas.openxmlformats.org/officeDocument/2006/relationships/hyperlink" Target="http://www.hpeteralesso.com" TargetMode="External"/><Relationship Id="rId27" Type="http://schemas.openxmlformats.org/officeDocument/2006/relationships/hyperlink" Target="https://gallica.bnf.fr/ark:/12148/bpt6k3414331n.image" TargetMode="External"/><Relationship Id="rId30" Type="http://schemas.openxmlformats.org/officeDocument/2006/relationships/hyperlink" Target="https://doi.org/10.1140/epjst/e2016-60344-y" TargetMode="External"/><Relationship Id="rId35" Type="http://schemas.openxmlformats.org/officeDocument/2006/relationships/hyperlink" Target="https://doi.org/10.1063/1.1724033" TargetMode="External"/><Relationship Id="rId43" Type="http://schemas.openxmlformats.org/officeDocument/2006/relationships/hyperlink" Target="https://books.google.com/books/about/Lectures_in_Theoretical_Physics_Vol_7c.html?id=W6-lXwAACAAJ" TargetMode="External"/><Relationship Id="rId48" Type="http://schemas.openxmlformats.org/officeDocument/2006/relationships/hyperlink" Target="https://doi.org/10.1103/PhysRevLett.28.240" TargetMode="External"/><Relationship Id="rId56" Type="http://schemas.openxmlformats.org/officeDocument/2006/relationships/hyperlink" Target="https://doi.org/10.1103/PhysRevB.96.184410" TargetMode="External"/><Relationship Id="rId8" Type="http://schemas.openxmlformats.org/officeDocument/2006/relationships/hyperlink" Target="https://www.amazon.com/dp/B0FBR8B2W9" TargetMode="External"/><Relationship Id="rId51" Type="http://schemas.openxmlformats.org/officeDocument/2006/relationships/hyperlink" Target="https://doi.org/10.1103/PhysRevLett.47.1" TargetMode="External"/><Relationship Id="rId3" Type="http://schemas.openxmlformats.org/officeDocument/2006/relationships/settings" Target="settings.xml"/><Relationship Id="rId12" Type="http://schemas.openxmlformats.org/officeDocument/2006/relationships/hyperlink" Target="https://www.amazon.com/dp/B0FH5S9WQR" TargetMode="External"/><Relationship Id="rId17" Type="http://schemas.openxmlformats.org/officeDocument/2006/relationships/hyperlink" Target="https://www.amazon.com/Connections-Patterns-Discovery-Wiley-IEEE-ebook/dp/B0017T9E6O?ref_=ast_author_dp_rw&amp;dib=eyJ2IjoiMSJ9.PL9qoZpKEjkVUnUQYCo8gjOTGNvdhoYh3mBdDjp4RmhwBYORkKAtbsZ8ZG9fGPVAJCbVpES-Sz-vDHOYVEG0k7JJYtNNTNp1e6cmtQVEVZmxscnMrukGf9EfiPj4NMC8AsuevcHeJ0kXvoje8MrlbLoicsb1SDw66aQ-gheTweWb6ubN_5eesJOLhuz1k9OWOgIjzWmb9dBLXsiWHK18HMI_RS00unEqGXy_38AosVU.E8nXpnJ7EDYfNfzn56mnLQLoRb1LWR_gQRZ4KSi8jzs&amp;dib_tag=AUTHOR" TargetMode="External"/><Relationship Id="rId25" Type="http://schemas.openxmlformats.org/officeDocument/2006/relationships/hyperlink" Target="https://www.ai-hive.net/" TargetMode="External"/><Relationship Id="rId33" Type="http://schemas.openxmlformats.org/officeDocument/2006/relationships/hyperlink" Target="https://doi.org/10.1017/S0305004100019174" TargetMode="External"/><Relationship Id="rId38" Type="http://schemas.openxmlformats.org/officeDocument/2006/relationships/hyperlink" Target="https://doi.org/10.1103/PhysRev.87.410" TargetMode="External"/><Relationship Id="rId46" Type="http://schemas.openxmlformats.org/officeDocument/2006/relationships/hyperlink" Target="https://doi.org/10.1103/PhysRev.185.832" TargetMode="External"/><Relationship Id="rId59" Type="http://schemas.openxmlformats.org/officeDocument/2006/relationships/hyperlink" Target="https://doi.org/10.4007/annals.2021.194.1.3" TargetMode="External"/><Relationship Id="rId20" Type="http://schemas.openxmlformats.org/officeDocument/2006/relationships/hyperlink" Target="https://www.amazon.com/Intelligent-Wireless-Web-Peter-Alesso/dp/0201730634?ref_=ast_author_dp_rw&amp;dib=eyJ2IjoiMSJ9.PL9qoZpKEjkVUnUQYCo8gjOTGNvdhoYh3mBdDjp4RmhwBYORkKAtbsZ8ZG9fGPVAJCbVpES-Sz-vDHOYVEG0k7JJYtNNTNp1e6cmtQVEVZmxscnMrukGf9EfiPj4NMC8AsuevcHeJ0kXvoje8MrlbLoicsb1SDw66aQ-gheTweWb6ubN_5eesJOLhuz1k9OWOgIjzWmb9dBLXsiWHK18HMI_RS00unEqGXy_38AosVU.E8nXpnJ7EDYfNfzn56mnLQLoRb1LWR_gQRZ4KSi8jzs&amp;dib_tag=AUTHOR" TargetMode="External"/><Relationship Id="rId41" Type="http://schemas.openxmlformats.org/officeDocument/2006/relationships/hyperlink" Target="https://garfield.library.upenn.edu/histcomp/fisher-me_auth-citing/node/46.html" TargetMode="External"/><Relationship Id="rId54" Type="http://schemas.openxmlformats.org/officeDocument/2006/relationships/hyperlink" Target="https://doi.org/10.1103/PhysRevX.7.031038" TargetMode="External"/><Relationship Id="rId62"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amazon.com/dp/B0FLSP5DM3" TargetMode="External"/><Relationship Id="rId15" Type="http://schemas.openxmlformats.org/officeDocument/2006/relationships/hyperlink" Target="https://www.amazon.com/dp/B0FCNB5VK9" TargetMode="External"/><Relationship Id="rId23" Type="http://schemas.openxmlformats.org/officeDocument/2006/relationships/image" Target="media/image1.png"/><Relationship Id="rId28" Type="http://schemas.openxmlformats.org/officeDocument/2006/relationships/hyperlink" Target="https://doi.org/10.1002/andp.18501550306" TargetMode="External"/><Relationship Id="rId36" Type="http://schemas.openxmlformats.org/officeDocument/2006/relationships/hyperlink" Target="https://doi.org/10.1103/PhysRev.85.808" TargetMode="External"/><Relationship Id="rId49" Type="http://schemas.openxmlformats.org/officeDocument/2006/relationships/hyperlink" Target="https://doi.org/10.1103/PhysRevLett.28.1516" TargetMode="External"/><Relationship Id="rId57" Type="http://schemas.openxmlformats.org/officeDocument/2006/relationships/hyperlink" Target="https://doi.org/10.1103/PhysRevE.98.022138" TargetMode="External"/><Relationship Id="rId10" Type="http://schemas.openxmlformats.org/officeDocument/2006/relationships/hyperlink" Target="https://www.amazon.com/dp/B0FJBD36BV" TargetMode="External"/><Relationship Id="rId31" Type="http://schemas.openxmlformats.org/officeDocument/2006/relationships/hyperlink" Target="https://doi.org/10.1016/B978-0-08-010586-4.50034-1" TargetMode="External"/><Relationship Id="rId44" Type="http://schemas.openxmlformats.org/officeDocument/2006/relationships/hyperlink" Target="https://doi.org/10.1063/1.1696618" TargetMode="External"/><Relationship Id="rId52" Type="http://schemas.openxmlformats.org/officeDocument/2006/relationships/hyperlink" Target="https://doi.org/10.1007/BF01213009" TargetMode="External"/><Relationship Id="rId60" Type="http://schemas.openxmlformats.org/officeDocument/2006/relationships/hyperlink" Target="https://doi.org/10.1103/PhysRevE.108.L032102" TargetMode="External"/><Relationship Id="rId4" Type="http://schemas.openxmlformats.org/officeDocument/2006/relationships/webSettings" Target="webSettings.xml"/><Relationship Id="rId9" Type="http://schemas.openxmlformats.org/officeDocument/2006/relationships/hyperlink" Target="https://www.amazon.com/dp/B0FP8KYXNF" TargetMode="External"/><Relationship Id="rId63" Type="http://schemas.openxmlformats.org/officeDocument/2006/relationships/hyperlink" Target="https://doi.org/10.1103/PhysRevX.12.031044" TargetMode="External"/><Relationship Id="rId64" Type="http://schemas.openxmlformats.org/officeDocument/2006/relationships/hyperlink" Target="https://doi.org/10.1038/s41557-021-00716-z" TargetMode="External"/><Relationship Id="rId65" Type="http://schemas.openxmlformats.org/officeDocument/2006/relationships/hyperlink" Target="https://physicsworld.com/a/superconductivity-damaged-as-researchers-look-to-move-on-from-retractions/" TargetMode="External"/><Relationship Id="rId66" Type="http://schemas.openxmlformats.org/officeDocument/2006/relationships/hyperlink" Target="https://doi.org/10.1038/s41524-020-00362-y" TargetMode="External"/><Relationship Id="rId67" Type="http://schemas.openxmlformats.org/officeDocument/2006/relationships/hyperlink" Target="https://doi.org/10.1021/acs.chemmater.4c00643" TargetMode="External"/><Relationship Id="rId68" Type="http://schemas.openxmlformats.org/officeDocument/2006/relationships/hyperlink" Target="https://doi.org/10.1038/s41586-023-06774-2" TargetMode="External"/><Relationship Id="rId69" Type="http://schemas.openxmlformats.org/officeDocument/2006/relationships/hyperlink" Target="https://doi.org/10.1038/d41586-023-02585-7" TargetMode="External"/><Relationship Id="rId70" Type="http://schemas.openxmlformats.org/officeDocument/2006/relationships/hyperlink" Target="https://doi.org/10.1038/d41586-024-00976-y" TargetMode="External"/><Relationship Id="rId71" Type="http://schemas.openxmlformats.org/officeDocument/2006/relationships/hyperlink" Target="https://doi.org/10.1038/s42256-020-00257-z" TargetMode="External"/><Relationship Id="rId72" Type="http://schemas.openxmlformats.org/officeDocument/2006/relationships/hyperlink" Target="https://doi.org/10.1021/acs.jpcc.3c05684" TargetMode="External"/><Relationship Id="rId73" Type="http://schemas.openxmlformats.org/officeDocument/2006/relationships/hyperlink" Target="https://doi.org/10.1126/sciadv.adk3452" TargetMode="External"/><Relationship Id="rId74" Type="http://schemas.openxmlformats.org/officeDocument/2006/relationships/hyperlink" Target="https://doi.org/10.1016/j.patter.2023.100804" TargetMode="External"/><Relationship Id="rId75" Type="http://schemas.openxmlformats.org/officeDocument/2006/relationships/hyperlink" Target="https://reproducible.cs.princeton.edu/" TargetMode="External"/><Relationship Id="rId76" Type="http://schemas.openxmlformats.org/officeDocument/2006/relationships/hyperlink" Target="https://doi.org/10.1038/npjcompumats.2015.10" TargetMode="External"/><Relationship Id="rId77" Type="http://schemas.openxmlformats.org/officeDocument/2006/relationships/hyperlink" Target="https://doi.org/10.1021/acsomega.3c06096" TargetMode="External"/><Relationship Id="rId78" Type="http://schemas.openxmlformats.org/officeDocument/2006/relationships/hyperlink" Target="https://doi.org/10.1038/s41467-019-08987-4" TargetMode="External"/><Relationship Id="rId79" Type="http://schemas.openxmlformats.org/officeDocument/2006/relationships/hyperlink" Target="https://arxiv.org/abs/2307.12008" TargetMode="External"/><Relationship Id="rId80" Type="http://schemas.openxmlformats.org/officeDocument/2006/relationships/hyperlink" Target="https://doi.org/10.1103/PRXEnergy.3.011002" TargetMode="External"/><Relationship Id="rId81" Type="http://schemas.openxmlformats.org/officeDocument/2006/relationships/hyperlink" Target="https://doi.org/10.1038/s41524-023-01012-9" TargetMode="External"/><Relationship Id="rId82" Type="http://schemas.openxmlformats.org/officeDocument/2006/relationships/hyperlink" Target="https://doi.org/10.1038/s41467-023-42992-y" TargetMode="External"/><Relationship Id="rId83" Type="http://schemas.openxmlformats.org/officeDocument/2006/relationships/hyperlink" Target="https://doi.org/10.1038/s43246-024-00731-w" TargetMode="External"/><Relationship Id="rId84" Type="http://schemas.openxmlformats.org/officeDocument/2006/relationships/hyperlink" Target="https://doi.org/10.1038/s41586-023-06735-9" TargetMode="External"/><Relationship Id="rId85" Type="http://schemas.openxmlformats.org/officeDocument/2006/relationships/hyperlink" Target="https://doi.org/10.1039/C8ME00012C" TargetMode="External"/><Relationship Id="rId86" Type="http://schemas.openxmlformats.org/officeDocument/2006/relationships/hyperlink" Target="https://www.nature.com/articles/d41586-024-03796-2" TargetMode="External"/><Relationship Id="rId87" Type="http://schemas.openxmlformats.org/officeDocument/2006/relationships/hyperlink" Target="https://www.chemistryworld.com/news/new-analysis-raises-doubts-over-autonomous-labs-materials-discoveries/4018791.article" TargetMode="External"/><Relationship Id="rId88" Type="http://schemas.openxmlformats.org/officeDocument/2006/relationships/hyperlink" Target="https://doi.org/10.1063/5.0172755" TargetMode="External"/><Relationship Id="rId89" Type="http://schemas.openxmlformats.org/officeDocument/2006/relationships/hyperlink" Target="https://doi.org/10.1038/s42256-025-01055-1" TargetMode="External"/><Relationship Id="rId90" Type="http://schemas.openxmlformats.org/officeDocument/2006/relationships/hyperlink" Target="https://doi.org/10.1038/s42256-021-00307-0" TargetMode="External"/><Relationship Id="rId91" Type="http://schemas.openxmlformats.org/officeDocument/2006/relationships/hyperlink" Target="https://www.chemistryworld.com/news/are-we-rushing-ahead-with-ai-in-the-lab/4019424.article" TargetMode="External"/><Relationship Id="rId92" Type="http://schemas.openxmlformats.org/officeDocument/2006/relationships/hyperlink" Target="https://doi.org/10.1038/s41586-022-05294-9" TargetMode="External"/><Relationship Id="rId93" Type="http://schemas.openxmlformats.org/officeDocument/2006/relationships/hyperlink" Target="https://doi.org/10.1038/s41586-025-09992-y" TargetMode="External"/><Relationship Id="rId94" Type="http://schemas.openxmlformats.org/officeDocument/2006/relationships/hyperlink" Target="https://doi.org/10.1038/s41586-023-06734-w" TargetMode="External"/><Relationship Id="rId95" Type="http://schemas.openxmlformats.org/officeDocument/2006/relationships/hyperlink" Target="https://doi.org/10.1142/S0217979223750012" TargetMode="External"/><Relationship Id="rId96" Type="http://schemas.openxmlformats.org/officeDocument/2006/relationships/hyperlink" Target="https://doi.org/10.1016/j.matt.2023.11.00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TotalTime>
  <Pages>15</Pages>
  <Words>6924</Words>
  <Characters>39473</Characters>
  <Application>Microsoft Office Word</Application>
  <DocSecurity>0</DocSecurity>
  <Lines>328</Lines>
  <Paragraphs>92</Paragraphs>
  <ScaleCrop>false</ScaleCrop>
  <Company/>
  <LinksUpToDate>false</LinksUpToDate>
  <CharactersWithSpaces>46305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Harry Alesso</dc:creator>
  <cp:keywords/>
  <dc:description/>
  <cp:lastModifiedBy>Harry Alesso</cp:lastModifiedBy>
  <cp:revision>8</cp:revision>
  <dcterms:created xsi:type="dcterms:W3CDTF">2026-08-23T17:29:00Z</dcterms:created>
  <dcterms:modified xsi:type="dcterms:W3CDTF">2026-08-23T18:20:00Z</dcterms:modified>
</cp:coreProperties>
</file>