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w:t>
      </w:r>
    </w:p>
    <w:p>
      <w:pPr>
        <w:pStyle w:val="Heading1"/>
      </w:pPr>
      <w:r>
        <w:t>Universality, and the Art of Throwing Things Away</w:t>
      </w:r>
    </w:p>
    <w:p>
      <w:r>
        <w:rPr>
          <w:i w:val="0"/>
        </w:rPr>
        <w:t>In 1945 Edward Armand Guggenheim published a figure that has no business working. On a single pair of axes it carries the liquid-gas coexistence curves of eight substances: neon, argon, krypton, xenon, nitrogen, oxygen, carbon monoxide and methane. Monatomic noble gases sit beside diatomic molecules and a tetrahedral hydrocarbon. Yet divide each temperature by that substance's own critical temperature, and each density by its own critical density, and the eight curves lie on top of one another to within the scatter of the measurements. The collapse is the principle of corresponding states, and that is the title Guggenheim gave the paper.</w:t>
      </w:r>
    </w:p>
    <w:p>
      <w:r>
        <w:rPr>
          <w:i w:val="0"/>
        </w:rPr>
        <w:t xml:space="preserve">Guggenheim also read a number off the common curve. The difference between the liquid and vapour densities vanishes as a power of the distance from </w:t>
      </w:r>
      <m:oMath>
        <m:sSub>
          <m:e>
            <m:r>
              <m:t>T</m:t>
            </m:r>
          </m:e>
          <m:sub>
            <m:r>
              <m:t>c</m:t>
            </m:r>
          </m:sub>
        </m:sSub>
      </m:oMath>
      <w:r>
        <w:rPr>
          <w:i w:val="0"/>
        </w:rPr>
        <w:t xml:space="preserve">, and the power that fits is close to </w:t>
      </w:r>
      <m:oMath>
        <m:f>
          <m:fPr>
            <m:type m:val="lin"/>
          </m:fPr>
          <m:num>
            <m:r>
              <m:t>1</m:t>
            </m:r>
          </m:num>
          <m:den>
            <m:r>
              <m:t>3</m:t>
            </m:r>
          </m:den>
        </m:f>
      </m:oMath>
      <w:r>
        <w:rPr>
          <w:i w:val="0"/>
        </w:rPr>
        <w:t xml:space="preserve">. Call it </w:t>
      </w:r>
      <m:oMath>
        <m:r>
          <m:t>β</m:t>
        </m:r>
      </m:oMath>
      <w:r>
        <w:rPr>
          <w:i w:val="0"/>
        </w:rPr>
        <w:t xml:space="preserve">, the first exponent this chapter collects. The van der Waals equation gives </w:t>
      </w:r>
      <m:oMath>
        <m:r>
          <m:t>β=1/2</m:t>
        </m:r>
      </m:oMath>
      <w:r>
        <w:rPr>
          <w:i w:val="0"/>
        </w:rPr>
        <w:t>, as does every theory built on the same plan. So the identity of a substance stops mattering near its critical point, and the standard approximation is wrong about how it stops mattering. Explaining either took a quarter of a century.</w:t>
      </w:r>
    </w:p>
    <w:p>
      <w:pPr>
        <w:pStyle w:val="BookSection"/>
      </w:pPr>
      <w:r>
        <w:t>A model with almost nothing in it</w:t>
      </w:r>
    </w:p>
    <w:p>
      <w:r>
        <w:rPr>
          <w:i w:val="0"/>
        </w:rPr>
        <w:t xml:space="preserve">Wilhelm Lenz proposed the model. Ernst Ising, Lenz's doctoral student at the University of Hamburg, solved it and published the result in 1925. Place a variable </w:t>
      </w:r>
      <m:oMath>
        <m:sSub>
          <m:e>
            <m:r>
              <m:t>s</m:t>
            </m:r>
          </m:e>
          <m:sub>
            <m:r>
              <m:t>i</m:t>
            </m:r>
          </m:sub>
        </m:sSub>
        <m:r>
          <m:t>=±1</m:t>
        </m:r>
      </m:oMath>
      <w:r>
        <w:rPr>
          <w:i w:val="0"/>
        </w:rPr>
        <w:t xml:space="preserve"> on each site </w:t>
      </w:r>
      <m:oMath>
        <m:r>
          <m:t>i</m:t>
        </m:r>
      </m:oMath>
      <w:r>
        <w:rPr>
          <w:i w:val="0"/>
        </w:rPr>
        <w:t xml:space="preserve"> of a regular lattice, let neighbours prefer to agree, and let a field bias the system toward one sign:</w:t>
      </w:r>
    </w:p>
    <w:p>
      <w:pPr>
        <w:spacing w:before="200" w:after="200"/>
        <w:ind w:firstLine="0"/>
        <w:jc w:val="center"/>
        <w:contextualSpacing w:val="0"/>
      </w:pPr>
      <m:oMath>
        <m:r>
          <m:t>H=−J</m:t>
        </m:r>
        <m:nary>
          <m:naryPr>
            <m:chr m:val="∑"/>
            <m:limLoc m:val="subSup"/>
            <m:grow m:val="1"/>
            <m:subHide m:val="off"/>
            <m:supHide m:val="on"/>
          </m:naryPr>
          <m:sub>
            <m:r>
              <m:t>⟨ij⟩</m:t>
            </m:r>
          </m:sub>
          <m:sup/>
          <m:e>
            <m:sSub>
              <m:e>
                <m:r>
                  <m:t>s</m:t>
                </m:r>
              </m:e>
              <m:sub>
                <m:r>
                  <m:t>i</m:t>
                </m:r>
              </m:sub>
            </m:sSub>
          </m:e>
        </m:nary>
        <m:sSub>
          <m:e>
            <m:r>
              <m:t>s</m:t>
            </m:r>
          </m:e>
          <m:sub>
            <m:r>
              <m:t>j</m:t>
            </m:r>
          </m:sub>
        </m:sSub>
        <m:r>
          <m:t>−h</m:t>
        </m:r>
        <m:nary>
          <m:naryPr>
            <m:chr m:val="∑"/>
            <m:limLoc m:val="subSup"/>
            <m:grow m:val="1"/>
            <m:subHide m:val="off"/>
            <m:supHide m:val="on"/>
          </m:naryPr>
          <m:sub>
            <m:r>
              <m:t>i</m:t>
            </m:r>
          </m:sub>
          <m:sup/>
          <m:e>
            <m:sSub>
              <m:e>
                <m:r>
                  <m:t>s</m:t>
                </m:r>
              </m:e>
              <m:sub>
                <m:r>
                  <m:t>i</m:t>
                </m:r>
              </m:sub>
            </m:sSub>
          </m:e>
        </m:nary>
        <m:r>
          <m:t>,</m:t>
        </m:r>
      </m:oMath>
    </w:p>
    <w:p>
      <w:r>
        <w:rPr>
          <w:i w:val="0"/>
        </w:rPr>
        <w:t xml:space="preserve">with </w:t>
      </w:r>
      <m:oMath>
        <m:r>
          <m:t>J&gt;0</m:t>
        </m:r>
      </m:oMath>
      <w:r>
        <w:rPr>
          <w:i w:val="0"/>
        </w:rPr>
        <w:t xml:space="preserve"> rewarding alignment. A real magnet has orbital structure, lattice vibrations and conduction electrons. All of it has been deleted. What survives is a two-valued degree of freedom, a local preference for agreement, and a temperature. It is also the lattice the companion application simulates.</w:t>
      </w:r>
    </w:p>
    <w:p>
      <w:r>
        <w:rPr>
          <w:i w:val="0"/>
        </w:rPr>
        <w:t>In one dimension Ising solved the model completely and found no transition. The free energy is analytic at every nonzero temperature. A cruder count says why the chain fails to order: a reversed segment costs a fixed energy however long it is, since only its endpoints break bonds, while the number of places to put them grows with the chain. The two statements differ. One says a function has no singularity, the other that an average does not vanish. Which of them a finite lattice can even be asked about is a question the next section settles. Ising extrapolated to higher dimensions, where the conclusion is false, and on top of that grew the durable claim that Ising proved there is no transition in two dimensions. No such proof exists, because the two-dimensional model orders.</w:t>
      </w:r>
    </w:p>
    <w:p>
      <w:r>
        <w:rPr>
          <w:i w:val="0"/>
        </w:rPr>
        <w:t xml:space="preserve">Rudolf Peierls gave the first argument for that, in 1936. A reversed region in two dimensions is bounded by a closed contour of broken bonds. A contour of length </w:t>
      </w:r>
      <m:oMath>
        <m:r>
          <m:t>L</m:t>
        </m:r>
      </m:oMath>
      <w:r>
        <w:rPr>
          <w:i w:val="0"/>
        </w:rPr>
        <w:t xml:space="preserve"> costs energy </w:t>
      </w:r>
      <m:oMath>
        <m:r>
          <m:t>2JL</m:t>
        </m:r>
      </m:oMath>
      <w:r>
        <w:rPr>
          <w:i w:val="0"/>
        </w:rPr>
        <w:t xml:space="preserve"> and carries weight </w:t>
      </w:r>
      <m:oMath>
        <m:sSup>
          <m:e>
            <m:r>
              <m:t>e</m:t>
            </m:r>
          </m:e>
          <m:sup>
            <m:r>
              <m:t>−2JL/kT</m:t>
            </m:r>
          </m:sup>
        </m:sSup>
      </m:oMath>
      <w:r>
        <w:rPr>
          <w:i w:val="0"/>
        </w:rPr>
        <w:t xml:space="preserve">, while the number of such contours enclosing a given site grows only exponentially in </w:t>
      </w:r>
      <m:oMath>
        <m:r>
          <m:t>L</m:t>
        </m:r>
      </m:oMath>
      <w:r>
        <w:rPr>
          <w:i w:val="0"/>
        </w:rPr>
        <w:t>. At low enough temperature the weight beats the count term by term, so the summed probability that any contour encloses the site can be made as small as one likes, in particular below one half. Fix the boundary spins up and the site is more likely than not to carry the boundary's sign, so the magnetisation cannot vanish. The argument turns on dimension, not chemistry.</w:t>
      </w:r>
    </w:p>
    <w:p>
      <w:pPr>
        <w:pStyle w:val="BookSection"/>
      </w:pPr>
      <w:r>
        <w:t>The same lattice, written as a fluid</w:t>
      </w:r>
    </w:p>
    <w:p>
      <w:r>
        <w:rPr>
          <w:i w:val="0"/>
        </w:rPr>
        <w:t xml:space="preserve">Let each site be occupied or empty, with </w:t>
      </w:r>
      <m:oMath>
        <m:sSub>
          <m:e>
            <m:r>
              <m:t>n</m:t>
            </m:r>
          </m:e>
          <m:sub>
            <m:r>
              <m:t>i</m:t>
            </m:r>
          </m:sub>
        </m:sSub>
        <m:r>
          <m:t>∈{0,1}</m:t>
        </m:r>
      </m:oMath>
      <w:r>
        <w:rPr>
          <w:i w:val="0"/>
        </w:rPr>
        <w:t xml:space="preserve">, let occupied neighbours attract with energy </w:t>
      </w:r>
      <m:oMath>
        <m:r>
          <m:t>−w</m:t>
        </m:r>
      </m:oMath>
      <w:r>
        <w:rPr>
          <w:i w:val="0"/>
        </w:rPr>
        <w:t xml:space="preserve"> per pair, and let a chemical potential </w:t>
      </w:r>
      <m:oMath>
        <m:r>
          <m:t>μ</m:t>
        </m:r>
      </m:oMath>
      <w:r>
        <w:rPr>
          <w:i w:val="0"/>
        </w:rPr>
        <w:t xml:space="preserve"> set the mean density. Substituting </w:t>
      </w:r>
      <m:oMath>
        <m:sSub>
          <m:e>
            <m:r>
              <m:t>n</m:t>
            </m:r>
          </m:e>
          <m:sub>
            <m:r>
              <m:t>i</m:t>
            </m:r>
          </m:sub>
        </m:sSub>
        <m:r>
          <m:t>=(1+</m:t>
        </m:r>
        <m:sSub>
          <m:e>
            <m:r>
              <m:t>s</m:t>
            </m:r>
          </m:e>
          <m:sub>
            <m:r>
              <m:t>i</m:t>
            </m:r>
          </m:sub>
        </m:sSub>
        <m:r>
          <m:t>)/2</m:t>
        </m:r>
      </m:oMath>
      <w:r>
        <w:rPr>
          <w:i w:val="0"/>
        </w:rPr>
        <w:t xml:space="preserve"> returns the Ising energy exactly, with</w:t>
      </w:r>
    </w:p>
    <w:p>
      <w:pPr>
        <w:spacing w:before="200" w:after="200"/>
        <w:ind w:firstLine="0"/>
        <w:jc w:val="center"/>
        <w:contextualSpacing w:val="0"/>
      </w:pPr>
      <m:oMath>
        <m:r>
          <m:t>J=</m:t>
        </m:r>
        <m:f>
          <m:fPr>
            <m:type m:val="bar"/>
          </m:fPr>
          <m:num>
            <m:r>
              <m:t>w</m:t>
            </m:r>
          </m:num>
          <m:den>
            <m:r>
              <m:t>4</m:t>
            </m:r>
          </m:den>
        </m:f>
        <m:r>
          <m:t>,</m:t>
        </m:r>
        <m:r>
          <m:t>h=</m:t>
        </m:r>
        <m:f>
          <m:fPr>
            <m:type m:val="bar"/>
          </m:fPr>
          <m:num>
            <m:r>
              <m:t>μ</m:t>
            </m:r>
          </m:num>
          <m:den>
            <m:r>
              <m:t>2</m:t>
            </m:r>
          </m:den>
        </m:f>
        <m:r>
          <m:t>+</m:t>
        </m:r>
        <m:f>
          <m:fPr>
            <m:type m:val="bar"/>
          </m:fPr>
          <m:num>
            <m:r>
              <m:t>qw</m:t>
            </m:r>
          </m:num>
          <m:den>
            <m:r>
              <m:t>4</m:t>
            </m:r>
          </m:den>
        </m:f>
        <m:r>
          <m:t>,</m:t>
        </m:r>
      </m:oMath>
    </w:p>
    <w:p>
      <w:r>
        <w:rPr>
          <w:i w:val="0"/>
        </w:rPr>
        <w:t xml:space="preserve">where </w:t>
      </w:r>
      <m:oMath>
        <m:r>
          <m:t>q</m:t>
        </m:r>
      </m:oMath>
      <w:r>
        <w:rPr>
          <w:i w:val="0"/>
        </w:rPr>
        <w:t xml:space="preserve"> is the number of neighbours of a site, plus a configuration-independent constant that cancels from every derivative defining an exponent. This is the lattice gas, and the equivalence is due to Tsung-Dao Lee and Chen Ning Yang, both at the Institute for Advanced Study in Princeton, in the second of two papers of 1952. The first, published with Yang's name first, shows that a finite system's grand partition function is a polynomial in the fugacity with no zeros on the positive real axis. A transition can appear only in the limit, where the zeros pinch that axis. The second adds the Lee-Yang circle theorem: for a ferromagnetic Ising system every zero lies on the unit circle in the fugacity plane, which is to say at purely imaginary field.</w:t>
      </w:r>
    </w:p>
    <w:p>
      <w:r>
        <w:rPr>
          <w:i w:val="0"/>
        </w:rPr>
        <w:t xml:space="preserve">That settles the question the one-dimensional solution left open. A nonvanishing magnetisation is a property a finite lattice can have, and it is what the Peierls bound estimates. Non-analyticity is not, since a finite lattice carries no zeros where the physical variables live. The circle theorem says where in the limit a singularity may appear. Zeros on the unit circle meet the positive real fugacity axis at one point only, </w:t>
      </w:r>
      <m:oMath>
        <m:r>
          <m:t>h=0</m:t>
        </m:r>
      </m:oMath>
      <w:r>
        <w:rPr>
          <w:i w:val="0"/>
        </w:rPr>
        <w:t xml:space="preserve">, so a transition can occur in zero field and nowhere else, fixing the coexistence line at </w:t>
      </w:r>
      <m:oMath>
        <m:r>
          <m:t>μ=−qw/2</m:t>
        </m:r>
      </m:oMath>
      <w:r>
        <w:rPr>
          <w:i w:val="0"/>
        </w:rPr>
        <w:t>.</w:t>
      </w:r>
    </w:p>
    <w:p>
      <w:r>
        <w:rPr>
          <w:i w:val="0"/>
        </w:rPr>
        <w:t xml:space="preserve">The mapping delivers no liquid-vapour symmetry away from that line. Relabelling occupied and empty sites, </w:t>
      </w:r>
      <m:oMath>
        <m:sSub>
          <m:e>
            <m:r>
              <m:t>n</m:t>
            </m:r>
          </m:e>
          <m:sub>
            <m:r>
              <m:t>i</m:t>
            </m:r>
          </m:sub>
        </m:sSub>
        <m:r>
          <m:t>→1−</m:t>
        </m:r>
        <m:sSub>
          <m:e>
            <m:r>
              <m:t>n</m:t>
            </m:r>
          </m:e>
          <m:sub>
            <m:r>
              <m:t>i</m:t>
            </m:r>
          </m:sub>
        </m:sSub>
      </m:oMath>
      <w:r>
        <w:rPr>
          <w:i w:val="0"/>
        </w:rPr>
        <w:t xml:space="preserve">, returns the pair term to itself plus a term </w:t>
      </w:r>
      <m:oMath>
        <m:r>
          <m:t>qw</m:t>
        </m:r>
        <m:nary>
          <m:naryPr>
            <m:chr m:val="∑"/>
            <m:limLoc m:val="subSup"/>
            <m:grow m:val="1"/>
            <m:subHide m:val="off"/>
            <m:supHide m:val="on"/>
          </m:naryPr>
          <m:sub>
            <m:r>
              <m:t>i</m:t>
            </m:r>
          </m:sub>
          <m:sup/>
          <m:e>
            <m:sSub>
              <m:e>
                <m:r>
                  <m:t>n</m:t>
                </m:r>
              </m:e>
              <m:sub>
                <m:r>
                  <m:t>i</m:t>
                </m:r>
              </m:sub>
            </m:sSub>
          </m:e>
        </m:nary>
      </m:oMath>
      <w:r>
        <w:rPr>
          <w:i w:val="0"/>
        </w:rPr>
        <w:t xml:space="preserve">, so the energy is invariant only if </w:t>
      </w:r>
      <m:oMath>
        <m:r>
          <m:t>μ</m:t>
        </m:r>
      </m:oMath>
      <w:r>
        <w:rPr>
          <w:i w:val="0"/>
        </w:rPr>
        <w:t xml:space="preserve"> is replaced at the same time by </w:t>
      </w:r>
      <m:oMath>
        <m:r>
          <m:t>−(μ+qw)</m:t>
        </m:r>
      </m:oMath>
      <w:r>
        <w:rPr>
          <w:i w:val="0"/>
        </w:rPr>
        <w:t xml:space="preserve">. The two agree at </w:t>
      </w:r>
      <m:oMath>
        <m:r>
          <m:t>μ=−qw/2</m:t>
        </m:r>
      </m:oMath>
      <w:r>
        <w:rPr>
          <w:i w:val="0"/>
        </w:rPr>
        <w:t xml:space="preserve">, which is </w:t>
      </w:r>
      <m:oMath>
        <m:r>
          <m:t>h=0</m:t>
        </m:r>
      </m:oMath>
      <w:r>
        <w:rPr>
          <w:i w:val="0"/>
        </w:rPr>
        <w:t xml:space="preserve">, the line the circle theorem allowed. The symmetry therefore holds exactly along the coexistence curve, which is accordingly symmetric about the critical density. Argon's is not: the mean of the two coexisting densities drifts nearly linearly with temperature, the law of rectilinear diameters, and no relabelling produces a drift. A single </w:t>
      </w:r>
      <m:oMath>
        <m:r>
          <m:t>β</m:t>
        </m:r>
      </m:oMath>
      <w:r>
        <w:rPr>
          <w:i w:val="0"/>
        </w:rPr>
        <w:t xml:space="preserve"> is read not off either branch but off the width </w:t>
      </w:r>
      <m:oMath>
        <m:sSub>
          <m:e>
            <m:r>
              <m:t>ρ</m:t>
            </m:r>
          </m:e>
          <m:sub>
            <m:r>
              <m:t>l</m:t>
            </m:r>
          </m:sub>
        </m:sSub>
        <m:r>
          <m:t>−</m:t>
        </m:r>
        <m:sSub>
          <m:e>
            <m:r>
              <m:t>ρ</m:t>
            </m:r>
          </m:e>
          <m:sub>
            <m:r>
              <m:t>v</m:t>
            </m:r>
          </m:sub>
        </m:sSub>
      </m:oMath>
      <w:r>
        <w:rPr>
          <w:i w:val="0"/>
        </w:rPr>
        <w:t>, which carries the pure power while the asymmetry collects in the sum. Where the drift comes from is a question the flow answers later.</w:t>
      </w:r>
    </w:p>
    <w:p>
      <w:r>
        <w:rPr>
          <w:i w:val="0"/>
        </w:rPr>
        <w:t>Guggenheim's fluids, besides, have continuous positions, soft cores and finite range, which a lattice has not; identifying that exponent with a lattice model's is a further step.</w:t>
      </w:r>
    </w:p>
    <w:p>
      <w:pPr>
        <w:pStyle w:val="BookSection"/>
      </w:pPr>
      <w:r>
        <w:t>The exact answer, and the exponents it cost</w:t>
      </w:r>
    </w:p>
    <w:p>
      <w:r>
        <w:rPr>
          <w:i w:val="0"/>
        </w:rPr>
        <w:t>Lars Onsager, at Yale University, obtained the exact partition function of the two-dimensional square-lattice model in zero field in 1944. The transition is genuinely continuous, and the critical temperature comes out in closed form:</w:t>
      </w:r>
    </w:p>
    <w:p>
      <w:pPr>
        <w:spacing w:before="200" w:after="200"/>
        <w:ind w:firstLine="0"/>
        <w:jc w:val="center"/>
        <w:contextualSpacing w:val="0"/>
      </w:pPr>
      <m:oMath>
        <m:r>
          <m:rPr>
            <m:sty m:val="p"/>
          </m:rPr>
          <m:t>sinh</m:t>
        </m:r>
        <m:d>
          <m:dPr>
            <m:sepChr m:val=""/>
          </m:dPr>
          <m:e>
            <m:f>
              <m:fPr>
                <m:type m:val="bar"/>
              </m:fPr>
              <m:num>
                <m:r>
                  <m:t>2J</m:t>
                </m:r>
              </m:num>
              <m:den>
                <m:r>
                  <m:t>k</m:t>
                </m:r>
                <m:sSub>
                  <m:e>
                    <m:r>
                      <m:t>T</m:t>
                    </m:r>
                  </m:e>
                  <m:sub>
                    <m:r>
                      <m:t>c</m:t>
                    </m:r>
                  </m:sub>
                </m:sSub>
              </m:den>
            </m:f>
          </m:e>
        </m:d>
        <m:r>
          <m:t>=1,</m:t>
        </m:r>
        <m:f>
          <m:fPr>
            <m:type m:val="bar"/>
          </m:fPr>
          <m:num>
            <m:r>
              <m:t>k</m:t>
            </m:r>
            <m:sSub>
              <m:e>
                <m:r>
                  <m:t>T</m:t>
                </m:r>
              </m:e>
              <m:sub>
                <m:r>
                  <m:t>c</m:t>
                </m:r>
              </m:sub>
            </m:sSub>
          </m:num>
          <m:den>
            <m:r>
              <m:t>J</m:t>
            </m:r>
          </m:den>
        </m:f>
        <m:r>
          <m:t>=</m:t>
        </m:r>
        <m:f>
          <m:fPr>
            <m:type m:val="bar"/>
          </m:fPr>
          <m:num>
            <m:r>
              <m:t>2</m:t>
            </m:r>
          </m:num>
          <m:den>
            <m:r>
              <m:rPr>
                <m:sty m:val="p"/>
              </m:rPr>
              <m:t>ln</m:t>
            </m:r>
            <m:r>
              <m:t>(1+</m:t>
            </m:r>
            <m:rad>
              <m:radPr>
                <m:degHide m:val="on"/>
              </m:radPr>
              <m:deg/>
              <m:e>
                <m:r>
                  <m:t>2</m:t>
                </m:r>
              </m:e>
            </m:rad>
            <m:r>
              <m:t>)</m:t>
            </m:r>
          </m:den>
        </m:f>
        <m:r>
          <m:t>≈2.269.</m:t>
        </m:r>
      </m:oMath>
    </w:p>
    <w:p>
      <w:r>
        <w:rPr>
          <w:i w:val="0"/>
        </w:rPr>
        <w:t xml:space="preserve">The specific heat does not jump at </w:t>
      </w:r>
      <m:oMath>
        <m:sSub>
          <m:e>
            <m:r>
              <m:t>T</m:t>
            </m:r>
          </m:e>
          <m:sub>
            <m:r>
              <m:t>c</m:t>
            </m:r>
          </m:sub>
        </m:sSub>
      </m:oMath>
      <w:r>
        <w:rPr>
          <w:i w:val="0"/>
        </w:rPr>
        <w:t>; it diverges, logarithmically. Paul Ehrenfest had proposed in 1933 that transitions be classified by the order of the lowest discontinuous derivative of the thermodynamic potential, the second-order case carrying a finite jump in a second derivative. A logarithmic divergence is not a finite jump, so modern usage keeps only the distinction between first-order and continuous transitions.</w:t>
      </w:r>
    </w:p>
    <w:p>
      <w:r>
        <w:rPr>
          <w:i w:val="0"/>
        </w:rPr>
        <w:t xml:space="preserve">What replaced the categories is a list of powers. With </w:t>
      </w:r>
      <m:oMath>
        <m:r>
          <m:t>t=(T−</m:t>
        </m:r>
        <m:sSub>
          <m:e>
            <m:r>
              <m:t>T</m:t>
            </m:r>
          </m:e>
          <m:sub>
            <m:r>
              <m:t>c</m:t>
            </m:r>
          </m:sub>
        </m:sSub>
        <m:r>
          <m:t>)/</m:t>
        </m:r>
        <m:sSub>
          <m:e>
            <m:r>
              <m:t>T</m:t>
            </m:r>
          </m:e>
          <m:sub>
            <m:r>
              <m:t>c</m:t>
            </m:r>
          </m:sub>
        </m:sSub>
      </m:oMath>
      <w:r>
        <w:rPr>
          <w:i w:val="0"/>
        </w:rPr>
        <w:t xml:space="preserve">, </w:t>
      </w:r>
      <m:oMath>
        <m:r>
          <m:t>m</m:t>
        </m:r>
      </m:oMath>
      <w:r>
        <w:rPr>
          <w:i w:val="0"/>
        </w:rPr>
        <w:t xml:space="preserve"> the order parameter and </w:t>
      </w:r>
      <m:oMath>
        <m:r>
          <m:t>h</m:t>
        </m:r>
      </m:oMath>
      <w:r>
        <w:rPr>
          <w:i w:val="0"/>
        </w:rPr>
        <w:t xml:space="preserve"> its conjugate field, the specific heat behaves as </w:t>
      </w:r>
      <m:oMath>
        <m:r>
          <m:t>C~|t</m:t>
        </m:r>
        <m:sSup>
          <m:e>
            <m:r>
              <m:t>|</m:t>
            </m:r>
          </m:e>
          <m:sup>
            <m:r>
              <m:t>−α</m:t>
            </m:r>
          </m:sup>
        </m:sSup>
      </m:oMath>
      <w:r>
        <w:rPr>
          <w:i w:val="0"/>
        </w:rPr>
        <w:t xml:space="preserve"> and the order parameter as </w:t>
      </w:r>
      <m:oMath>
        <m:r>
          <m:t>m~(−t</m:t>
        </m:r>
        <m:sSup>
          <m:e>
            <m:r>
              <m:t>)</m:t>
            </m:r>
          </m:e>
          <m:sup>
            <m:r>
              <m:t>β</m:t>
            </m:r>
          </m:sup>
        </m:sSup>
      </m:oMath>
      <w:r>
        <w:rPr>
          <w:i w:val="0"/>
        </w:rPr>
        <w:t xml:space="preserve"> below the transition. The susceptibility </w:t>
      </w:r>
      <m:oMath>
        <m:r>
          <m:t>χ=∂m/∂h</m:t>
        </m:r>
      </m:oMath>
      <w:r>
        <w:rPr>
          <w:i w:val="0"/>
        </w:rPr>
        <w:t xml:space="preserve"> goes as </w:t>
      </w:r>
      <m:oMath>
        <m:sSup>
          <m:e>
            <m:d>
              <m:dPr>
                <m:begChr m:val="|"/>
                <m:sepChr m:val=""/>
                <m:endChr m:val="|"/>
              </m:dPr>
              <m:e/>
            </m:d>
          </m:e>
          <m:sup>
            <m:r>
              <m:t>−γ</m:t>
            </m:r>
          </m:sup>
        </m:sSup>
      </m:oMath>
      <w:r>
        <w:rPr>
          <w:i w:val="0"/>
        </w:rPr>
        <w:t xml:space="preserve">, and on the critical isotherm </w:t>
      </w:r>
      <m:oMath>
        <m:r>
          <m:t>m~</m:t>
        </m:r>
        <m:sSup>
          <m:e>
            <m:r>
              <m:t>h</m:t>
            </m:r>
          </m:e>
          <m:sup>
            <m:f>
              <m:fPr>
                <m:type m:val="lin"/>
              </m:fPr>
              <m:num>
                <m:r>
                  <m:t>1</m:t>
                </m:r>
              </m:num>
              <m:den>
                <m:r>
                  <m:t>δ</m:t>
                </m:r>
              </m:den>
            </m:f>
          </m:sup>
        </m:sSup>
      </m:oMath>
      <w:r>
        <w:rPr>
          <w:i w:val="0"/>
        </w:rPr>
        <w:t xml:space="preserve">; in a fluid the susceptibility is the isothermal compressibility. Two more describe correlations: </w:t>
      </w:r>
      <m:oMath>
        <m:r>
          <m:t>ξ~|t</m:t>
        </m:r>
        <m:sSup>
          <m:e>
            <m:r>
              <m:t>|</m:t>
            </m:r>
          </m:e>
          <m:sup>
            <m:r>
              <m:t>−ν</m:t>
            </m:r>
          </m:sup>
        </m:sSup>
      </m:oMath>
      <w:r>
        <w:rPr>
          <w:i w:val="0"/>
        </w:rPr>
        <w:t xml:space="preserve">, and at the critical point the correlation function decays as </w:t>
      </w:r>
      <m:oMath>
        <m:f>
          <m:fPr>
            <m:type m:val="lin"/>
          </m:fPr>
          <m:num>
            <m:r>
              <m:t>1</m:t>
            </m:r>
          </m:num>
          <m:den>
            <m:sSup>
              <m:e>
                <m:r>
                  <m:t>r</m:t>
                </m:r>
              </m:e>
              <m:sup>
                <m:r>
                  <m:t>d−2+η</m:t>
                </m:r>
              </m:sup>
            </m:sSup>
          </m:den>
        </m:f>
      </m:oMath>
      <w:r>
        <w:rPr>
          <w:i w:val="0"/>
        </w:rPr>
        <w:t xml:space="preserve"> rather than as the </w:t>
      </w:r>
      <m:oMath>
        <m:f>
          <m:fPr>
            <m:type m:val="lin"/>
          </m:fPr>
          <m:num>
            <m:r>
              <m:t>1</m:t>
            </m:r>
          </m:num>
          <m:den>
            <m:sSup>
              <m:e>
                <m:r>
                  <m:t>r</m:t>
                </m:r>
              </m:e>
              <m:sup>
                <m:r>
                  <m:t>d−2</m:t>
                </m:r>
              </m:sup>
            </m:sSup>
          </m:den>
        </m:f>
      </m:oMath>
      <w:r>
        <w:rPr>
          <w:i w:val="0"/>
        </w:rPr>
        <w:t xml:space="preserve"> of a free field, which defines the anomalous dimension </w:t>
      </w:r>
      <m:oMath>
        <m:r>
          <m:t>η</m:t>
        </m:r>
      </m:oMath>
      <w:r>
        <w:rPr>
          <w:i w:val="0"/>
        </w:rPr>
        <w:t xml:space="preserve">. A seventh, </w:t>
      </w:r>
      <m:oMath>
        <m:r>
          <m:t>ω</m:t>
        </m:r>
      </m:oMath>
      <w:r>
        <w:rPr>
          <w:i w:val="0"/>
        </w:rPr>
        <w:t>, governs the leading correction to pure power laws.</w:t>
      </w:r>
    </w:p>
    <w:p>
      <w:r>
        <w:rPr>
          <w:i w:val="0"/>
        </w:rPr>
        <w:t xml:space="preserve">The framework these numbers were expected to satisfy is Lev Davidovich Landau's, from 1937. Minimising </w:t>
      </w:r>
      <m:oMath>
        <m:r>
          <m:t>f=</m:t>
        </m:r>
        <m:sSub>
          <m:e>
            <m:r>
              <m:t>f</m:t>
            </m:r>
          </m:e>
          <m:sub>
            <m:r>
              <m:t>0</m:t>
            </m:r>
          </m:sub>
        </m:sSub>
        <m:r>
          <m:t>+at</m:t>
        </m:r>
        <m:sSup>
          <m:e>
            <m:r>
              <m:t>ϕ</m:t>
            </m:r>
          </m:e>
          <m:sup>
            <m:r>
              <m:t>2</m:t>
            </m:r>
          </m:sup>
        </m:sSup>
        <m:r>
          <m:t>+u</m:t>
        </m:r>
        <m:sSup>
          <m:e>
            <m:r>
              <m:t>ϕ</m:t>
            </m:r>
          </m:e>
          <m:sup>
            <m:r>
              <m:t>4</m:t>
            </m:r>
          </m:sup>
        </m:sSup>
        <m:r>
          <m:t>−hϕ</m:t>
        </m:r>
      </m:oMath>
      <w:r>
        <w:rPr>
          <w:i w:val="0"/>
        </w:rPr>
        <w:t xml:space="preserve"> over an order parameter that vanishes in the symmetric phase gives </w:t>
      </w:r>
      <m:oMath>
        <m:r>
          <m:t>ϕ~(−t</m:t>
        </m:r>
        <m:sSup>
          <m:e>
            <m:r>
              <m:t>)</m:t>
            </m:r>
          </m:e>
          <m:sup>
            <m:f>
              <m:fPr>
                <m:type m:val="lin"/>
              </m:fPr>
              <m:num>
                <m:r>
                  <m:t>1</m:t>
                </m:r>
              </m:num>
              <m:den>
                <m:r>
                  <m:t>2</m:t>
                </m:r>
              </m:den>
            </m:f>
          </m:sup>
        </m:sSup>
      </m:oMath>
      <w:r>
        <w:rPr>
          <w:i w:val="0"/>
        </w:rPr>
        <w:t xml:space="preserve">, hence </w:t>
      </w:r>
      <m:oMath>
        <m:r>
          <m:t>β=1/2</m:t>
        </m:r>
      </m:oMath>
      <w:r>
        <w:rPr>
          <w:i w:val="0"/>
        </w:rPr>
        <w:t xml:space="preserve">, with </w:t>
      </w:r>
      <m:oMath>
        <m:r>
          <m:t>γ=1</m:t>
        </m:r>
      </m:oMath>
      <w:r>
        <w:rPr>
          <w:i w:val="0"/>
        </w:rPr>
        <w:t xml:space="preserve">, </w:t>
      </w:r>
      <m:oMath>
        <m:r>
          <m:t>δ=3</m:t>
        </m:r>
      </m:oMath>
      <w:r>
        <w:rPr>
          <w:i w:val="0"/>
        </w:rPr>
        <w:t xml:space="preserve"> and </w:t>
      </w:r>
      <m:oMath>
        <m:r>
          <m:t>α=0</m:t>
        </m:r>
      </m:oMath>
      <w:r>
        <w:rPr>
          <w:i w:val="0"/>
        </w:rPr>
        <w:t xml:space="preserve"> by differentiation. Onsager's case is also </w:t>
      </w:r>
      <m:oMath>
        <m:r>
          <m:t>α=0</m:t>
        </m:r>
      </m:oMath>
      <w:r>
        <w:rPr>
          <w:i w:val="0"/>
        </w:rPr>
        <w:t xml:space="preserve">, but the Landau heat capacity steps by a finite amount at </w:t>
      </w:r>
      <m:oMath>
        <m:sSub>
          <m:e>
            <m:r>
              <m:t>T</m:t>
            </m:r>
          </m:e>
          <m:sub>
            <m:r>
              <m:t>c</m:t>
            </m:r>
          </m:sub>
        </m:sSub>
      </m:oMath>
      <w:r>
        <w:rPr>
          <w:i w:val="0"/>
        </w:rPr>
        <w:t xml:space="preserve"> where the exact one diverges, and that difference cost Ehrenfest's classification its second category.</w:t>
      </w:r>
    </w:p>
    <w:p>
      <w:r>
        <w:rPr>
          <w:i w:val="0"/>
        </w:rPr>
        <w:t xml:space="preserve">Onsager announced the spontaneous magnetisation in 1948 without publishing a derivation. The first published derivation is due to Yang, in a separate paper of 1952, and it gives </w:t>
      </w:r>
      <m:oMath>
        <m:r>
          <m:t>β=1/8</m:t>
        </m:r>
      </m:oMath>
      <w:r>
        <w:rPr>
          <w:i w:val="0"/>
        </w:rPr>
        <w:t xml:space="preserve">, with no approximation to blame for the discrepancy. Three-dimensional fluids give roughly </w:t>
      </w:r>
      <m:oMath>
        <m:f>
          <m:fPr>
            <m:type m:val="lin"/>
          </m:fPr>
          <m:num>
            <m:r>
              <m:t>1</m:t>
            </m:r>
          </m:num>
          <m:den>
            <m:r>
              <m:t>3</m:t>
            </m:r>
          </m:den>
        </m:f>
      </m:oMath>
      <w:r>
        <w:rPr>
          <w:i w:val="0"/>
        </w:rPr>
        <w:t xml:space="preserve">, the two-dimensional lattice magnet exactly </w:t>
      </w:r>
      <m:oMath>
        <m:f>
          <m:fPr>
            <m:type m:val="lin"/>
          </m:fPr>
          <m:num>
            <m:r>
              <m:t>1</m:t>
            </m:r>
          </m:num>
          <m:den>
            <m:r>
              <m:t>8</m:t>
            </m:r>
          </m:den>
        </m:f>
      </m:oMath>
      <w:r>
        <w:rPr>
          <w:i w:val="0"/>
        </w:rPr>
        <w:t xml:space="preserve">, the Landau expansion </w:t>
      </w:r>
      <m:oMath>
        <m:f>
          <m:fPr>
            <m:type m:val="lin"/>
          </m:fPr>
          <m:num>
            <m:r>
              <m:t>1</m:t>
            </m:r>
          </m:num>
          <m:den>
            <m:r>
              <m:t>2</m:t>
            </m:r>
          </m:den>
        </m:f>
      </m:oMath>
      <w:r>
        <w:rPr>
          <w:i w:val="0"/>
        </w:rPr>
        <w:t xml:space="preserve"> for both. Mean-field theory is not a third physical case but one approximation whose error depends on the spatial dimension and on nothing in the chemistry.</w:t>
      </w:r>
    </w:p>
    <w:p>
      <w:pPr>
        <w:pStyle w:val="BookSection"/>
      </w:pPr>
      <w:r>
        <w:t>Relations before explanations</w:t>
      </w:r>
    </w:p>
    <w:p>
      <w:r>
        <w:rPr>
          <w:i w:val="0"/>
        </w:rPr>
        <w:t xml:space="preserve">Through the early 1960s the exponents accumulated relations that no one could explain. On 15 February 1963, John W. Essam and Michael Ellis Fisher, at the Wheatstone Physics Laboratory of King's College, London, published a study of the lattice gas and the Ising ferromagnet below the critical point. Pade approximant analysis of low-temperature series gave </w:t>
      </w:r>
      <m:oMath>
        <m:r>
          <m:t>0.303≤β≤0.318</m:t>
        </m:r>
      </m:oMath>
      <w:r>
        <w:rPr>
          <w:i w:val="0"/>
        </w:rPr>
        <w:t xml:space="preserve">, with </w:t>
      </w:r>
      <m:oMath>
        <m:r>
          <m:t>β=5/16</m:t>
        </m:r>
      </m:oMath>
      <w:r>
        <w:rPr>
          <w:i w:val="0"/>
        </w:rPr>
        <w:t xml:space="preserve"> conjectured, close to Guggenheim's fit of eighteen years before. The notation for the thermodynamic four, </w:t>
      </w:r>
      <m:oMath>
        <m:r>
          <m:t>α</m:t>
        </m:r>
      </m:oMath>
      <w:r>
        <w:rPr>
          <w:i w:val="0"/>
        </w:rPr>
        <w:t xml:space="preserve"> through </w:t>
      </w:r>
      <m:oMath>
        <m:r>
          <m:t>δ</m:t>
        </m:r>
      </m:oMath>
      <w:r>
        <w:rPr>
          <w:i w:val="0"/>
        </w:rPr>
        <w:t xml:space="preserve">, was introduced here. The identity in the same paper came from elsewhere, credited by its authors to a heuristic model partition function rather than to the numerics: </w:t>
      </w:r>
      <m:oMath>
        <m:sSup>
          <m:e>
            <m:r>
              <m:t>α</m:t>
            </m:r>
          </m:e>
          <m:sup>
            <m:r>
              <m:t>′</m:t>
            </m:r>
          </m:sup>
        </m:sSup>
        <m:r>
          <m:t>+2β+</m:t>
        </m:r>
        <m:sSup>
          <m:e>
            <m:r>
              <m:t>γ</m:t>
            </m:r>
          </m:e>
          <m:sup>
            <m:r>
              <m:t>′</m:t>
            </m:r>
          </m:sup>
        </m:sSup>
        <m:r>
          <m:t>=2</m:t>
        </m:r>
      </m:oMath>
      <w:r>
        <w:rPr>
          <w:i w:val="0"/>
        </w:rPr>
        <w:t xml:space="preserve">, primes denoting approach to </w:t>
      </w:r>
      <m:oMath>
        <m:sSub>
          <m:e>
            <m:r>
              <m:t>T</m:t>
            </m:r>
          </m:e>
          <m:sub>
            <m:r>
              <m:t>c</m:t>
            </m:r>
          </m:sub>
        </m:sSub>
      </m:oMath>
      <w:r>
        <w:rPr>
          <w:i w:val="0"/>
        </w:rPr>
        <w:t xml:space="preserve"> from below, with nothing yet to guarantee that </w:t>
      </w:r>
      <m:oMath>
        <m:sSup>
          <m:e>
            <m:r>
              <m:t>α</m:t>
            </m:r>
          </m:e>
          <m:sup>
            <m:r>
              <m:t>′</m:t>
            </m:r>
          </m:sup>
        </m:sSup>
      </m:oMath>
      <w:r>
        <w:rPr>
          <w:i w:val="0"/>
        </w:rPr>
        <w:t xml:space="preserve"> equals </w:t>
      </w:r>
      <m:oMath>
        <m:r>
          <m:t>α</m:t>
        </m:r>
      </m:oMath>
      <w:r>
        <w:rPr>
          <w:i w:val="0"/>
        </w:rPr>
        <w:t>.</w:t>
      </w:r>
    </w:p>
    <w:p>
      <w:r>
        <w:rPr>
          <w:i w:val="0"/>
        </w:rPr>
        <w:t xml:space="preserve">Five and a half months later, on 1 August 1963, George Stanley Rushbrooke published a two-page paper from the Chemistry Department at the University of Oregon. It proves the corresponding inequality </w:t>
      </w:r>
      <m:oMath>
        <m:sSup>
          <m:e>
            <m:r>
              <m:t>α</m:t>
            </m:r>
          </m:e>
          <m:sup>
            <m:r>
              <m:t>′</m:t>
            </m:r>
          </m:sup>
        </m:sSup>
        <m:r>
          <m:t>+2β+</m:t>
        </m:r>
        <m:sSup>
          <m:e>
            <m:r>
              <m:t>γ</m:t>
            </m:r>
          </m:e>
          <m:sup>
            <m:r>
              <m:t>′</m:t>
            </m:r>
          </m:sup>
        </m:sSup>
        <m:r>
          <m:t>≥2</m:t>
        </m:r>
      </m:oMath>
      <w:r>
        <w:rPr>
          <w:i w:val="0"/>
        </w:rPr>
        <w:t xml:space="preserve"> from the positivity of specific heats required by the second law, and it cites Essam and Fisher as its first reference. Robert B. Griffiths added </w:t>
      </w:r>
      <m:oMath>
        <m:sSup>
          <m:e>
            <m:r>
              <m:t>α</m:t>
            </m:r>
          </m:e>
          <m:sup>
            <m:r>
              <m:t>′</m:t>
            </m:r>
          </m:sup>
        </m:sSup>
        <m:r>
          <m:t>+β(1+δ)≥2</m:t>
        </m:r>
      </m:oMath>
      <w:r>
        <w:rPr>
          <w:i w:val="0"/>
        </w:rPr>
        <w:t xml:space="preserve"> in 1965, from the convexity of the free energy. Thermodynamics could bound the exponents but not pin them.</w:t>
      </w:r>
    </w:p>
    <w:p>
      <w:r>
        <w:rPr>
          <w:i w:val="0"/>
        </w:rPr>
        <w:t xml:space="preserve">Benjamin Widom supplied the missing assumption later in 1965, from the Department of Chemistry at Cornell University. Widom introduced a function </w:t>
      </w:r>
      <m:oMath>
        <m:r>
          <m:t>Φ(x,y)</m:t>
        </m:r>
      </m:oMath>
      <w:r>
        <w:rPr>
          <w:i w:val="0"/>
        </w:rPr>
        <w:t xml:space="preserve">, with </w:t>
      </w:r>
      <m:oMath>
        <m:r>
          <m:t>x</m:t>
        </m:r>
      </m:oMath>
      <w:r>
        <w:rPr>
          <w:i w:val="0"/>
        </w:rPr>
        <w:t xml:space="preserve"> a measure of the temperature and </w:t>
      </w:r>
      <m:oMath>
        <m:r>
          <m:t>y</m:t>
        </m:r>
      </m:oMath>
      <w:r>
        <w:rPr>
          <w:i w:val="0"/>
        </w:rPr>
        <w:t xml:space="preserve"> of the density. In the classical theories it is a constant. Widom proposed that in a real fluid it is homogeneous in </w:t>
      </w:r>
      <m:oMath>
        <m:r>
          <m:t>x</m:t>
        </m:r>
      </m:oMath>
      <w:r>
        <w:rPr>
          <w:i w:val="0"/>
        </w:rPr>
        <w:t xml:space="preserve"> and </w:t>
      </w:r>
      <m:oMath>
        <m:r>
          <m:t>y</m:t>
        </m:r>
      </m:oMath>
      <w:r>
        <w:rPr>
          <w:i w:val="0"/>
        </w:rPr>
        <w:t xml:space="preserve"> with a positive degree of homogeneity. What </w:t>
      </w:r>
      <m:oMath>
        <m:r>
          <m:t>Φ</m:t>
        </m:r>
      </m:oMath>
      <w:r>
        <w:rPr>
          <w:i w:val="0"/>
        </w:rPr>
        <w:t xml:space="preserve"> carries is the equation of state, so the hypothesis constrains the field conjugate to the order parameter: the chemical potential measured from its critical value in a fluid, the magnetic field in a magnet. Write that field </w:t>
      </w:r>
      <m:oMath>
        <m:r>
          <m:t>h</m:t>
        </m:r>
      </m:oMath>
      <w:r>
        <w:rPr>
          <w:i w:val="0"/>
        </w:rPr>
        <w:t xml:space="preserve"> and the order parameter </w:t>
      </w:r>
      <m:oMath>
        <m:r>
          <m:t>m</m:t>
        </m:r>
      </m:oMath>
      <w:r>
        <w:rPr>
          <w:i w:val="0"/>
        </w:rPr>
        <w:t>. The homogeneity is a generalised one, the arguments carrying different weights,</w:t>
      </w:r>
    </w:p>
    <w:p>
      <w:pPr>
        <w:spacing w:before="200" w:after="200"/>
        <w:ind w:firstLine="0"/>
        <w:jc w:val="center"/>
        <w:contextualSpacing w:val="0"/>
      </w:pPr>
      <m:oMath>
        <m:r>
          <m:t>h</m:t>
        </m:r>
        <m:d>
          <m:dPr>
            <m:sepChr m:val=","/>
          </m:dPr>
          <m:e>
            <m:sSup>
              <m:e>
                <m:r>
                  <m:t>λ</m:t>
                </m:r>
              </m:e>
              <m:sup>
                <m:r>
                  <m:t>a</m:t>
                </m:r>
              </m:sup>
            </m:sSup>
            <m:r>
              <m:t>t</m:t>
            </m:r>
          </m:e>
          <m:e>
            <m:sSup>
              <m:e>
                <m:r>
                  <m:t>λ</m:t>
                </m:r>
              </m:e>
              <m:sup>
                <m:r>
                  <m:t>b</m:t>
                </m:r>
              </m:sup>
            </m:sSup>
            <m:r>
              <m:t>m</m:t>
            </m:r>
          </m:e>
        </m:d>
        <m:r>
          <m:t>=λ</m:t>
        </m:r>
        <m:r>
          <m:t>h(t,m),</m:t>
        </m:r>
      </m:oMath>
    </w:p>
    <w:p>
      <w:r>
        <w:rPr>
          <w:i w:val="0"/>
        </w:rPr>
        <w:t xml:space="preserve">the degree on the right set to unity by convention. It holds for every </w:t>
      </w:r>
      <m:oMath>
        <m:r>
          <m:t>λ</m:t>
        </m:r>
      </m:oMath>
      <w:r>
        <w:rPr>
          <w:i w:val="0"/>
        </w:rPr>
        <w:t xml:space="preserve">, so choose </w:t>
      </w:r>
      <m:oMath>
        <m:r>
          <m:t>λ=|m</m:t>
        </m:r>
        <m:sSup>
          <m:e>
            <m:r>
              <m:t>|</m:t>
            </m:r>
          </m:e>
          <m:sup>
            <m:r>
              <m:t>−1/b</m:t>
            </m:r>
          </m:sup>
        </m:sSup>
      </m:oMath>
      <w:r>
        <w:rPr>
          <w:i w:val="0"/>
        </w:rPr>
        <w:t xml:space="preserve"> and the two variables collapse into one:</w:t>
      </w:r>
    </w:p>
    <w:p>
      <w:pPr>
        <w:spacing w:before="200" w:after="200"/>
        <w:ind w:firstLine="0"/>
        <w:jc w:val="center"/>
        <w:contextualSpacing w:val="0"/>
      </w:pPr>
      <m:oMath>
        <m:r>
          <m:t>h(t,m)=|m</m:t>
        </m:r>
        <m:sSup>
          <m:e>
            <m:r>
              <m:t>|</m:t>
            </m:r>
          </m:e>
          <m:sup>
            <m:f>
              <m:fPr>
                <m:type m:val="lin"/>
              </m:fPr>
              <m:num>
                <m:r>
                  <m:t>1</m:t>
                </m:r>
              </m:num>
              <m:den>
                <m:r>
                  <m:t>b</m:t>
                </m:r>
              </m:den>
            </m:f>
          </m:sup>
        </m:sSup>
        <m:r>
          <m:t>H</m:t>
        </m:r>
        <m:d>
          <m:e>
            <m:r>
              <m:t>t</m:t>
            </m:r>
          </m:e>
          <m:e>
            <m:r>
              <m:t>m</m:t>
            </m:r>
            <m:sSup>
              <m:e>
                <m:r>
                  <m:t>|</m:t>
                </m:r>
              </m:e>
              <m:sup>
                <m:r>
                  <m:t>−a/b</m:t>
                </m:r>
              </m:sup>
            </m:sSup>
          </m:e>
        </m:d>
        <m:r>
          <m:t>.</m:t>
        </m:r>
      </m:oMath>
    </w:p>
    <w:p>
      <w:r>
        <w:rPr>
          <w:i w:val="0"/>
        </w:rPr>
        <w:t xml:space="preserve">Every exponent can now be read off. On the critical isotherm </w:t>
      </w:r>
      <m:oMath>
        <m:r>
          <m:t>t=0</m:t>
        </m:r>
      </m:oMath>
      <w:r>
        <w:rPr>
          <w:i w:val="0"/>
        </w:rPr>
        <w:t xml:space="preserve">, so </w:t>
      </w:r>
      <m:oMath>
        <m:r>
          <m:t>h~|m</m:t>
        </m:r>
        <m:sSup>
          <m:e>
            <m:r>
              <m:t>|</m:t>
            </m:r>
          </m:e>
          <m:sup>
            <m:f>
              <m:fPr>
                <m:type m:val="lin"/>
              </m:fPr>
              <m:num>
                <m:r>
                  <m:t>1</m:t>
                </m:r>
              </m:num>
              <m:den>
                <m:r>
                  <m:t>b</m:t>
                </m:r>
              </m:den>
            </m:f>
          </m:sup>
        </m:sSup>
      </m:oMath>
      <w:r>
        <w:rPr>
          <w:i w:val="0"/>
        </w:rPr>
        <w:t xml:space="preserve"> and </w:t>
      </w:r>
      <m:oMath>
        <m:r>
          <m:t>δ=1/b</m:t>
        </m:r>
      </m:oMath>
      <w:r>
        <w:rPr>
          <w:i w:val="0"/>
        </w:rPr>
        <w:t xml:space="preserve">. In zero field below </w:t>
      </w:r>
      <m:oMath>
        <m:sSub>
          <m:e>
            <m:r>
              <m:t>T</m:t>
            </m:r>
          </m:e>
          <m:sub>
            <m:r>
              <m:t>c</m:t>
            </m:r>
          </m:sub>
        </m:sSub>
      </m:oMath>
      <w:r>
        <w:rPr>
          <w:i w:val="0"/>
        </w:rPr>
        <w:t xml:space="preserve"> the order parameter is nonzero, which requires </w:t>
      </w:r>
      <m:oMath>
        <m:r>
          <m:t>H</m:t>
        </m:r>
      </m:oMath>
      <w:r>
        <w:rPr>
          <w:i w:val="0"/>
        </w:rPr>
        <w:t xml:space="preserve"> to vanish at some negative argument </w:t>
      </w:r>
      <m:oMath>
        <m:r>
          <m:t>−</m:t>
        </m:r>
        <m:sSub>
          <m:e>
            <m:r>
              <m:t>x</m:t>
            </m:r>
          </m:e>
          <m:sub>
            <m:r>
              <m:t>0</m:t>
            </m:r>
          </m:sub>
        </m:sSub>
      </m:oMath>
      <w:r>
        <w:rPr>
          <w:i w:val="0"/>
        </w:rPr>
        <w:t xml:space="preserve">; then </w:t>
      </w:r>
      <m:oMath>
        <m:r>
          <m:t>|m|=(|t|/</m:t>
        </m:r>
        <m:sSub>
          <m:e>
            <m:r>
              <m:t>x</m:t>
            </m:r>
          </m:e>
          <m:sub>
            <m:r>
              <m:t>0</m:t>
            </m:r>
          </m:sub>
        </m:sSub>
        <m:sSup>
          <m:e>
            <m:r>
              <m:t>)</m:t>
            </m:r>
          </m:e>
          <m:sup>
            <m:f>
              <m:fPr>
                <m:type m:val="lin"/>
              </m:fPr>
              <m:num>
                <m:r>
                  <m:t>b</m:t>
                </m:r>
              </m:num>
              <m:den>
                <m:r>
                  <m:t>a</m:t>
                </m:r>
              </m:den>
            </m:f>
          </m:sup>
        </m:sSup>
      </m:oMath>
      <w:r>
        <w:rPr>
          <w:i w:val="0"/>
        </w:rPr>
        <w:t xml:space="preserve"> and </w:t>
      </w:r>
      <m:oMath>
        <m:r>
          <m:t>β=b/a</m:t>
        </m:r>
      </m:oMath>
      <w:r>
        <w:rPr>
          <w:i w:val="0"/>
        </w:rPr>
        <w:t xml:space="preserve">. Above </w:t>
      </w:r>
      <m:oMath>
        <m:sSub>
          <m:e>
            <m:r>
              <m:t>T</m:t>
            </m:r>
          </m:e>
          <m:sub>
            <m:r>
              <m:t>c</m:t>
            </m:r>
          </m:sub>
        </m:sSub>
      </m:oMath>
      <w:r>
        <w:rPr>
          <w:i w:val="0"/>
        </w:rPr>
        <w:t xml:space="preserve"> the field must be linear in </w:t>
      </w:r>
      <m:oMath>
        <m:r>
          <m:t>m</m:t>
        </m:r>
      </m:oMath>
      <w:r>
        <w:rPr>
          <w:i w:val="0"/>
        </w:rPr>
        <w:t xml:space="preserve"> at small </w:t>
      </w:r>
      <m:oMath>
        <m:r>
          <m:t>m</m:t>
        </m:r>
      </m:oMath>
      <w:r>
        <w:rPr>
          <w:i w:val="0"/>
        </w:rPr>
        <w:t xml:space="preserve">. Writing </w:t>
      </w:r>
      <m:oMath>
        <m:r>
          <m:t>H(z)~</m:t>
        </m:r>
        <m:sSup>
          <m:e>
            <m:r>
              <m:t>z</m:t>
            </m:r>
          </m:e>
          <m:sup>
            <m:r>
              <m:t>p</m:t>
            </m:r>
          </m:sup>
        </m:sSup>
      </m:oMath>
      <w:r>
        <w:rPr>
          <w:i w:val="0"/>
        </w:rPr>
        <w:t xml:space="preserve"> at large argument gives </w:t>
      </w:r>
      <m:oMath>
        <m:r>
          <m:t>h~</m:t>
        </m:r>
        <m:sSup>
          <m:e>
            <m:r>
              <m:t>t</m:t>
            </m:r>
          </m:e>
          <m:sup>
            <m:r>
              <m:t>p</m:t>
            </m:r>
          </m:sup>
        </m:sSup>
        <m:r>
          <m:t>|m</m:t>
        </m:r>
        <m:sSup>
          <m:e>
            <m:r>
              <m:t>|</m:t>
            </m:r>
          </m:e>
          <m:sup>
            <m:r>
              <m:t>(1−ap)/b</m:t>
            </m:r>
          </m:sup>
        </m:sSup>
      </m:oMath>
      <w:r>
        <w:rPr>
          <w:i w:val="0"/>
        </w:rPr>
        <w:t xml:space="preserve">, so linearity forces </w:t>
      </w:r>
      <m:oMath>
        <m:r>
          <m:t>p=(1−b)/a</m:t>
        </m:r>
      </m:oMath>
      <w:r>
        <w:rPr>
          <w:i w:val="0"/>
        </w:rPr>
        <w:t xml:space="preserve">; the inverse susceptibility then scales as </w:t>
      </w:r>
      <m:oMath>
        <m:sSup>
          <m:e>
            <m:r>
              <m:t>t</m:t>
            </m:r>
          </m:e>
          <m:sup>
            <m:r>
              <m:t>p</m:t>
            </m:r>
          </m:sup>
        </m:sSup>
      </m:oMath>
      <w:r>
        <w:rPr>
          <w:i w:val="0"/>
        </w:rPr>
        <w:t xml:space="preserve">, so </w:t>
      </w:r>
      <m:oMath>
        <m:r>
          <m:t>γ=p</m:t>
        </m:r>
      </m:oMath>
      <w:r>
        <w:rPr>
          <w:i w:val="0"/>
        </w:rPr>
        <w:t xml:space="preserve">. Two parameters and more exponents than that, so relations must hold: </w:t>
      </w:r>
      <m:oMath>
        <m:r>
          <m:t>β(δ−1)=(b/a)(1/b−1)=(1−b)/a=γ</m:t>
        </m:r>
      </m:oMath>
      <w:r>
        <w:rPr>
          <w:i w:val="0"/>
        </w:rPr>
        <w:t xml:space="preserve">, the Widom relation. Integrating the equation of state twice gives </w:t>
      </w:r>
      <m:oMath>
        <m:r>
          <m:t>α=2−(1+b)/a</m:t>
        </m:r>
      </m:oMath>
      <w:r>
        <w:rPr>
          <w:i w:val="0"/>
        </w:rPr>
        <w:t>, whereupon both earlier inequalities saturate. Fisher reviewed that passage from inequalities to equalities in 1967. What the hypothesis does not do is explain itself. Asking why an equation of state should be generalised homogeneous is the question of why critical points look the way they do, renamed.</w:t>
      </w:r>
    </w:p>
    <w:p>
      <w:pPr>
        <w:pStyle w:val="BookSection"/>
      </w:pPr>
      <w:r>
        <w:t>Kadanoff's blocks</w:t>
      </w:r>
    </w:p>
    <w:p>
      <w:r>
        <w:rPr>
          <w:i w:val="0"/>
        </w:rPr>
        <w:t xml:space="preserve">Leo Philip Kadanoff answered the renamed question in 1966, at the University of Illinois in Urbana. Partition the lattice near its critical point into cells of side </w:t>
      </w:r>
      <m:oMath>
        <m:r>
          <m:t>ba</m:t>
        </m:r>
      </m:oMath>
      <w:r>
        <w:rPr>
          <w:i w:val="0"/>
        </w:rPr>
        <w:t xml:space="preserve">, with </w:t>
      </w:r>
      <m:oMath>
        <m:r>
          <m:t>a≪ba≪ξ</m:t>
        </m:r>
      </m:oMath>
      <w:r>
        <w:rPr>
          <w:i w:val="0"/>
        </w:rPr>
        <w:t xml:space="preserve"> and </w:t>
      </w:r>
      <m:oMath>
        <m:r>
          <m:t>a</m:t>
        </m:r>
      </m:oMath>
      <w:r>
        <w:rPr>
          <w:i w:val="0"/>
        </w:rPr>
        <w:t xml:space="preserve"> the lattice spacing. Spins inside a cell are strongly correlated, so the cell acts as a unit and can be replaced by a single block spin. Kadanoff's claim is that the coarse-grained system is again an Ising model with rescaled coupling and field, offered as partial justification of Widom's conjecture rather than derivation.</w:t>
      </w:r>
    </w:p>
    <w:p>
      <w:r>
        <w:rPr>
          <w:i w:val="0"/>
        </w:rPr>
        <w:t xml:space="preserve">Grant it and the consequence is immediate. Coarse-graining changes not the free energy but how it is counted, and blocks are </w:t>
      </w:r>
      <m:oMath>
        <m:sSup>
          <m:e>
            <m:r>
              <m:t>b</m:t>
            </m:r>
          </m:e>
          <m:sup>
            <m:r>
              <m:t>d</m:t>
            </m:r>
          </m:sup>
        </m:sSup>
      </m:oMath>
      <w:r>
        <w:rPr>
          <w:i w:val="0"/>
        </w:rPr>
        <w:t xml:space="preserve"> times fewer than sites, so the singular part per degree of freedom obeys</w:t>
      </w:r>
    </w:p>
    <w:p>
      <w:pPr>
        <w:spacing w:before="200" w:after="200"/>
        <w:ind w:firstLine="0"/>
        <w:jc w:val="center"/>
        <w:contextualSpacing w:val="0"/>
      </w:pPr>
      <m:oMath>
        <m:sSub>
          <m:e>
            <m:r>
              <m:t>f</m:t>
            </m:r>
          </m:e>
          <m:sub>
            <m:r>
              <m:t>s</m:t>
            </m:r>
          </m:sub>
        </m:sSub>
        <m:r>
          <m:t>(t,h)=</m:t>
        </m:r>
        <m:sSup>
          <m:e>
            <m:r>
              <m:t>b</m:t>
            </m:r>
          </m:e>
          <m:sup>
            <m:r>
              <m:t>−d</m:t>
            </m:r>
          </m:sup>
        </m:sSup>
        <m:sSub>
          <m:e>
            <m:r>
              <m:t>f</m:t>
            </m:r>
          </m:e>
          <m:sub>
            <m:r>
              <m:t>s</m:t>
            </m:r>
          </m:sub>
        </m:sSub>
        <m:d>
          <m:dPr>
            <m:sepChr m:val=","/>
          </m:dPr>
          <m:e>
            <m:sSup>
              <m:e>
                <m:r>
                  <m:t>b</m:t>
                </m:r>
              </m:e>
              <m:sup>
                <m:sSub>
                  <m:e>
                    <m:r>
                      <m:t>y</m:t>
                    </m:r>
                  </m:e>
                  <m:sub>
                    <m:r>
                      <m:t>t</m:t>
                    </m:r>
                  </m:sub>
                </m:sSub>
              </m:sup>
            </m:sSup>
            <m:r>
              <m:t>t</m:t>
            </m:r>
          </m:e>
          <m:e>
            <m:sSup>
              <m:e>
                <m:r>
                  <m:t>b</m:t>
                </m:r>
              </m:e>
              <m:sup>
                <m:sSub>
                  <m:e>
                    <m:r>
                      <m:t>y</m:t>
                    </m:r>
                  </m:e>
                  <m:sub>
                    <m:r>
                      <m:t>h</m:t>
                    </m:r>
                  </m:sub>
                </m:sSub>
              </m:sup>
            </m:sSup>
            <m:r>
              <m:t>h</m:t>
            </m:r>
          </m:e>
        </m:d>
        <m:r>
          <m:t>,</m:t>
        </m:r>
      </m:oMath>
    </w:p>
    <w:p>
      <w:r>
        <w:rPr>
          <w:i w:val="0"/>
        </w:rPr>
        <w:t xml:space="preserve">with </w:t>
      </w:r>
      <m:oMath>
        <m:sSub>
          <m:e>
            <m:r>
              <m:t>y</m:t>
            </m:r>
          </m:e>
          <m:sub>
            <m:r>
              <m:t>t</m:t>
            </m:r>
          </m:sub>
        </m:sSub>
      </m:oMath>
      <w:r>
        <w:rPr>
          <w:i w:val="0"/>
        </w:rPr>
        <w:t xml:space="preserve"> and </w:t>
      </w:r>
      <m:oMath>
        <m:sSub>
          <m:e>
            <m:r>
              <m:t>y</m:t>
            </m:r>
          </m:e>
          <m:sub>
            <m:r>
              <m:t>h</m:t>
            </m:r>
          </m:sub>
        </m:sSub>
      </m:oMath>
      <w:r>
        <w:rPr>
          <w:i w:val="0"/>
        </w:rPr>
        <w:t xml:space="preserve"> the powers by which the rescaled temperature and field grow under coarse-graining by </w:t>
      </w:r>
      <m:oMath>
        <m:r>
          <m:t>b</m:t>
        </m:r>
      </m:oMath>
      <w:r>
        <w:rPr>
          <w:i w:val="0"/>
        </w:rPr>
        <w:t xml:space="preserve">. This is a generalised homogeneous free energy, derived rather than posited, and it contains Widom's hypothesis. Since </w:t>
      </w:r>
      <m:oMath>
        <m:r>
          <m:t>m=−∂</m:t>
        </m:r>
        <m:sSub>
          <m:e>
            <m:r>
              <m:t>f</m:t>
            </m:r>
          </m:e>
          <m:sub>
            <m:r>
              <m:t>s</m:t>
            </m:r>
          </m:sub>
        </m:sSub>
        <m:r>
          <m:t>/∂h</m:t>
        </m:r>
      </m:oMath>
      <w:r>
        <w:rPr>
          <w:i w:val="0"/>
        </w:rPr>
        <w:t xml:space="preserve"> scales with weight </w:t>
      </w:r>
      <m:oMath>
        <m:r>
          <m:t>d−</m:t>
        </m:r>
        <m:sSub>
          <m:e>
            <m:r>
              <m:t>y</m:t>
            </m:r>
          </m:e>
          <m:sub>
            <m:r>
              <m:t>h</m:t>
            </m:r>
          </m:sub>
        </m:sSub>
      </m:oMath>
      <w:r>
        <w:rPr>
          <w:i w:val="0"/>
        </w:rPr>
        <w:t xml:space="preserve">, the equation of state relating </w:t>
      </w:r>
      <m:oMath>
        <m:r>
          <m:t>h</m:t>
        </m:r>
      </m:oMath>
      <w:r>
        <w:rPr>
          <w:i w:val="0"/>
        </w:rPr>
        <w:t xml:space="preserve"> to </w:t>
      </w:r>
      <m:oMath>
        <m:r>
          <m:t>m</m:t>
        </m:r>
      </m:oMath>
      <w:r>
        <w:rPr>
          <w:i w:val="0"/>
        </w:rPr>
        <w:t xml:space="preserve"> is homogeneous of degree </w:t>
      </w:r>
      <m:oMath>
        <m:sSub>
          <m:e>
            <m:r>
              <m:t>y</m:t>
            </m:r>
          </m:e>
          <m:sub>
            <m:r>
              <m:t>h</m:t>
            </m:r>
          </m:sub>
        </m:sSub>
      </m:oMath>
      <w:r>
        <w:rPr>
          <w:i w:val="0"/>
        </w:rPr>
        <w:t xml:space="preserve"> in arguments of weight </w:t>
      </w:r>
      <m:oMath>
        <m:sSub>
          <m:e>
            <m:r>
              <m:t>y</m:t>
            </m:r>
          </m:e>
          <m:sub>
            <m:r>
              <m:t>t</m:t>
            </m:r>
          </m:sub>
        </m:sSub>
      </m:oMath>
      <w:r>
        <w:rPr>
          <w:i w:val="0"/>
        </w:rPr>
        <w:t xml:space="preserve"> and </w:t>
      </w:r>
      <m:oMath>
        <m:r>
          <m:t>d−</m:t>
        </m:r>
        <m:sSub>
          <m:e>
            <m:r>
              <m:t>y</m:t>
            </m:r>
          </m:e>
          <m:sub>
            <m:r>
              <m:t>h</m:t>
            </m:r>
          </m:sub>
        </m:sSub>
      </m:oMath>
      <w:r>
        <w:rPr>
          <w:i w:val="0"/>
        </w:rPr>
        <w:t xml:space="preserve">. Widom's parameters are therefore </w:t>
      </w:r>
      <m:oMath>
        <m:r>
          <m:t>a=</m:t>
        </m:r>
        <m:sSub>
          <m:e>
            <m:r>
              <m:t>y</m:t>
            </m:r>
          </m:e>
          <m:sub>
            <m:r>
              <m:t>t</m:t>
            </m:r>
          </m:sub>
        </m:sSub>
        <m:r>
          <m:t>/</m:t>
        </m:r>
        <m:sSub>
          <m:e>
            <m:r>
              <m:t>y</m:t>
            </m:r>
          </m:e>
          <m:sub>
            <m:r>
              <m:t>h</m:t>
            </m:r>
          </m:sub>
        </m:sSub>
      </m:oMath>
      <w:r>
        <w:rPr>
          <w:i w:val="0"/>
        </w:rPr>
        <w:t xml:space="preserve"> and </w:t>
      </w:r>
      <m:oMath>
        <m:r>
          <m:t>b=(d−</m:t>
        </m:r>
        <m:sSub>
          <m:e>
            <m:r>
              <m:t>y</m:t>
            </m:r>
          </m:e>
          <m:sub>
            <m:r>
              <m:t>h</m:t>
            </m:r>
          </m:sub>
        </m:sSub>
        <m:r>
          <m:t>)/</m:t>
        </m:r>
        <m:sSub>
          <m:e>
            <m:r>
              <m:t>y</m:t>
            </m:r>
          </m:e>
          <m:sub>
            <m:r>
              <m:t>h</m:t>
            </m:r>
          </m:sub>
        </m:sSub>
      </m:oMath>
      <w:r>
        <w:rPr>
          <w:i w:val="0"/>
        </w:rPr>
        <w:t>.</w:t>
      </w:r>
    </w:p>
    <w:p>
      <w:r>
        <w:rPr>
          <w:i w:val="0"/>
        </w:rPr>
        <w:t xml:space="preserve">The identity holds for every </w:t>
      </w:r>
      <m:oMath>
        <m:r>
          <m:t>b</m:t>
        </m:r>
      </m:oMath>
      <w:r>
        <w:rPr>
          <w:i w:val="0"/>
        </w:rPr>
        <w:t xml:space="preserve">, so choose </w:t>
      </w:r>
      <m:oMath>
        <m:r>
          <m:t>b=|t</m:t>
        </m:r>
        <m:sSup>
          <m:e>
            <m:r>
              <m:t>|</m:t>
            </m:r>
          </m:e>
          <m:sup>
            <m:r>
              <m:t>−1/</m:t>
            </m:r>
            <m:sSub>
              <m:e>
                <m:r>
                  <m:t>y</m:t>
                </m:r>
              </m:e>
              <m:sub>
                <m:r>
                  <m:t>t</m:t>
                </m:r>
              </m:sub>
            </m:sSub>
          </m:sup>
        </m:sSup>
      </m:oMath>
      <w:r>
        <w:rPr>
          <w:i w:val="0"/>
        </w:rPr>
        <w:t xml:space="preserve">. That leaves </w:t>
      </w:r>
      <m:oMath>
        <m:sSub>
          <m:e>
            <m:r>
              <m:t>f</m:t>
            </m:r>
          </m:e>
          <m:sub>
            <m:r>
              <m:t>s</m:t>
            </m:r>
          </m:sub>
        </m:sSub>
        <m:r>
          <m:t>(t,h)=|t</m:t>
        </m:r>
        <m:sSup>
          <m:e>
            <m:r>
              <m:t>|</m:t>
            </m:r>
          </m:e>
          <m:sup>
            <m:f>
              <m:fPr>
                <m:type m:val="lin"/>
              </m:fPr>
              <m:num>
                <m:r>
                  <m:t>d</m:t>
                </m:r>
              </m:num>
              <m:den>
                <m:sSub>
                  <m:e>
                    <m:r>
                      <m:t>y</m:t>
                    </m:r>
                  </m:e>
                  <m:sub>
                    <m:r>
                      <m:t>t</m:t>
                    </m:r>
                  </m:sub>
                </m:sSub>
              </m:den>
            </m:f>
          </m:sup>
        </m:sSup>
        <m:sSub>
          <m:e>
            <m:r>
              <m:t>Ψ</m:t>
            </m:r>
          </m:e>
          <m:sub>
            <m:r>
              <m:t>±</m:t>
            </m:r>
          </m:sub>
        </m:sSub>
        <m:r>
          <m:t>(h|t</m:t>
        </m:r>
        <m:sSup>
          <m:e>
            <m:r>
              <m:t>|</m:t>
            </m:r>
          </m:e>
          <m:sup>
            <m:r>
              <m:t>−</m:t>
            </m:r>
            <m:sSub>
              <m:e>
                <m:r>
                  <m:t>y</m:t>
                </m:r>
              </m:e>
              <m:sub>
                <m:r>
                  <m:t>h</m:t>
                </m:r>
              </m:sub>
            </m:sSub>
            <m:r>
              <m:t>/</m:t>
            </m:r>
            <m:sSub>
              <m:e>
                <m:r>
                  <m:t>y</m:t>
                </m:r>
              </m:e>
              <m:sub>
                <m:r>
                  <m:t>t</m:t>
                </m:r>
              </m:sub>
            </m:sSub>
          </m:sup>
        </m:sSup>
        <m:r>
          <m:t>)</m:t>
        </m:r>
      </m:oMath>
      <w:r>
        <w:rPr>
          <w:i w:val="0"/>
        </w:rPr>
        <w:t xml:space="preserve">, one branch above the transition and another below, since the choice of </w:t>
      </w:r>
      <m:oMath>
        <m:r>
          <m:t>b</m:t>
        </m:r>
      </m:oMath>
      <w:r>
        <w:rPr>
          <w:i w:val="0"/>
        </w:rPr>
        <w:t xml:space="preserve"> used only the magnitude of </w:t>
      </w:r>
      <m:oMath>
        <m:r>
          <m:t>t</m:t>
        </m:r>
      </m:oMath>
      <w:r>
        <w:rPr>
          <w:i w:val="0"/>
        </w:rPr>
        <w:t xml:space="preserve">. Two derivatives in </w:t>
      </w:r>
      <m:oMath>
        <m:r>
          <m:t>t</m:t>
        </m:r>
      </m:oMath>
      <w:r>
        <w:rPr>
          <w:i w:val="0"/>
        </w:rPr>
        <w:t xml:space="preserve"> at </w:t>
      </w:r>
      <m:oMath>
        <m:r>
          <m:t>h=0</m:t>
        </m:r>
      </m:oMath>
      <w:r>
        <w:rPr>
          <w:i w:val="0"/>
        </w:rPr>
        <w:t xml:space="preserve"> give </w:t>
      </w:r>
      <m:oMath>
        <m:r>
          <m:t>2−α=d/</m:t>
        </m:r>
        <m:sSub>
          <m:e>
            <m:r>
              <m:t>y</m:t>
            </m:r>
          </m:e>
          <m:sub>
            <m:r>
              <m:t>t</m:t>
            </m:r>
          </m:sub>
        </m:sSub>
      </m:oMath>
      <w:r>
        <w:rPr>
          <w:i w:val="0"/>
        </w:rPr>
        <w:t xml:space="preserve">; one derivative in </w:t>
      </w:r>
      <m:oMath>
        <m:r>
          <m:t>h</m:t>
        </m:r>
      </m:oMath>
      <w:r>
        <w:rPr>
          <w:i w:val="0"/>
        </w:rPr>
        <w:t xml:space="preserve"> gives </w:t>
      </w:r>
      <m:oMath>
        <m:r>
          <m:t>β=(d−</m:t>
        </m:r>
        <m:sSub>
          <m:e>
            <m:r>
              <m:t>y</m:t>
            </m:r>
          </m:e>
          <m:sub>
            <m:r>
              <m:t>h</m:t>
            </m:r>
          </m:sub>
        </m:sSub>
        <m:r>
          <m:t>)/</m:t>
        </m:r>
        <m:sSub>
          <m:e>
            <m:r>
              <m:t>y</m:t>
            </m:r>
          </m:e>
          <m:sub>
            <m:r>
              <m:t>t</m:t>
            </m:r>
          </m:sub>
        </m:sSub>
      </m:oMath>
      <w:r>
        <w:rPr>
          <w:i w:val="0"/>
        </w:rPr>
        <w:t xml:space="preserve">, and two give </w:t>
      </w:r>
      <m:oMath>
        <m:r>
          <m:t>γ=(2</m:t>
        </m:r>
        <m:sSub>
          <m:e>
            <m:r>
              <m:t>y</m:t>
            </m:r>
          </m:e>
          <m:sub>
            <m:r>
              <m:t>h</m:t>
            </m:r>
          </m:sub>
        </m:sSub>
        <m:r>
          <m:t>−d)/</m:t>
        </m:r>
        <m:sSub>
          <m:e>
            <m:r>
              <m:t>y</m:t>
            </m:r>
          </m:e>
          <m:sub>
            <m:r>
              <m:t>t</m:t>
            </m:r>
          </m:sub>
        </m:sSub>
      </m:oMath>
      <w:r>
        <w:rPr>
          <w:i w:val="0"/>
        </w:rPr>
        <w:t>. Assembled in Rushbrooke's combination, everything cancels:</w:t>
      </w:r>
    </w:p>
    <w:p>
      <w:pPr>
        <w:spacing w:before="200" w:after="200"/>
        <w:ind w:firstLine="0"/>
        <w:jc w:val="center"/>
        <w:contextualSpacing w:val="0"/>
      </w:pPr>
      <m:oMath>
        <m:r>
          <m:t>α+2β+γ=</m:t>
        </m:r>
        <m:d>
          <m:dPr>
            <m:sepChr m:val="−"/>
          </m:dPr>
          <m:e>
            <m:r>
              <m:t>2</m:t>
            </m:r>
          </m:e>
          <m:e>
            <m:f>
              <m:fPr>
                <m:type m:val="bar"/>
              </m:fPr>
              <m:num>
                <m:r>
                  <m:t>d</m:t>
                </m:r>
              </m:num>
              <m:den>
                <m:sSub>
                  <m:e>
                    <m:r>
                      <m:t>y</m:t>
                    </m:r>
                  </m:e>
                  <m:sub>
                    <m:r>
                      <m:t>t</m:t>
                    </m:r>
                  </m:sub>
                </m:sSub>
              </m:den>
            </m:f>
          </m:e>
        </m:d>
        <m:r>
          <m:t>+</m:t>
        </m:r>
        <m:f>
          <m:fPr>
            <m:type m:val="bar"/>
          </m:fPr>
          <m:num>
            <m:r>
              <m:t>2d−2</m:t>
            </m:r>
            <m:sSub>
              <m:e>
                <m:r>
                  <m:t>y</m:t>
                </m:r>
              </m:e>
              <m:sub>
                <m:r>
                  <m:t>h</m:t>
                </m:r>
              </m:sub>
            </m:sSub>
          </m:num>
          <m:den>
            <m:sSub>
              <m:e>
                <m:r>
                  <m:t>y</m:t>
                </m:r>
              </m:e>
              <m:sub>
                <m:r>
                  <m:t>t</m:t>
                </m:r>
              </m:sub>
            </m:sSub>
          </m:den>
        </m:f>
        <m:r>
          <m:t>+</m:t>
        </m:r>
        <m:f>
          <m:fPr>
            <m:type m:val="bar"/>
          </m:fPr>
          <m:num>
            <m:r>
              <m:t>2</m:t>
            </m:r>
            <m:sSub>
              <m:e>
                <m:r>
                  <m:t>y</m:t>
                </m:r>
              </m:e>
              <m:sub>
                <m:r>
                  <m:t>h</m:t>
                </m:r>
              </m:sub>
            </m:sSub>
            <m:r>
              <m:t>−d</m:t>
            </m:r>
          </m:num>
          <m:den>
            <m:sSub>
              <m:e>
                <m:r>
                  <m:t>y</m:t>
                </m:r>
              </m:e>
              <m:sub>
                <m:r>
                  <m:t>t</m:t>
                </m:r>
              </m:sub>
            </m:sSub>
          </m:den>
        </m:f>
        <m:r>
          <m:t>=2.</m:t>
        </m:r>
      </m:oMath>
    </w:p>
    <w:p>
      <w:r>
        <w:rPr>
          <w:i w:val="0"/>
        </w:rPr>
        <w:t xml:space="preserve">The primes go the same way. Amplitudes above and below </w:t>
      </w:r>
      <m:oMath>
        <m:sSub>
          <m:e>
            <m:r>
              <m:t>T</m:t>
            </m:r>
          </m:e>
          <m:sub>
            <m:r>
              <m:t>c</m:t>
            </m:r>
          </m:sub>
        </m:sSub>
      </m:oMath>
      <w:r>
        <w:rPr>
          <w:i w:val="0"/>
        </w:rPr>
        <w:t xml:space="preserve"> differ, since </w:t>
      </w:r>
      <m:oMath>
        <m:sSub>
          <m:e>
            <m:r>
              <m:t>Ψ</m:t>
            </m:r>
          </m:e>
          <m:sub>
            <m:r>
              <m:t>+</m:t>
            </m:r>
          </m:sub>
        </m:sSub>
      </m:oMath>
      <w:r>
        <w:rPr>
          <w:i w:val="0"/>
        </w:rPr>
        <w:t xml:space="preserve"> and </w:t>
      </w:r>
      <m:oMath>
        <m:sSub>
          <m:e>
            <m:r>
              <m:t>Ψ</m:t>
            </m:r>
          </m:e>
          <m:sub>
            <m:r>
              <m:t>−</m:t>
            </m:r>
          </m:sub>
        </m:sSub>
      </m:oMath>
      <w:r>
        <w:rPr>
          <w:i w:val="0"/>
        </w:rPr>
        <w:t xml:space="preserve"> are different functions, but the exponents coincide because the same </w:t>
      </w:r>
      <m:oMath>
        <m:sSub>
          <m:e>
            <m:r>
              <m:t>y</m:t>
            </m:r>
          </m:e>
          <m:sub>
            <m:r>
              <m:t>t</m:t>
            </m:r>
          </m:sub>
        </m:sSub>
      </m:oMath>
      <w:r>
        <w:rPr>
          <w:i w:val="0"/>
        </w:rPr>
        <w:t xml:space="preserve"> and </w:t>
      </w:r>
      <m:oMath>
        <m:sSub>
          <m:e>
            <m:r>
              <m:t>y</m:t>
            </m:r>
          </m:e>
          <m:sub>
            <m:r>
              <m:t>h</m:t>
            </m:r>
          </m:sub>
        </m:sSub>
      </m:oMath>
      <w:r>
        <w:rPr>
          <w:i w:val="0"/>
        </w:rPr>
        <w:t xml:space="preserve"> govern both branches. Coarse-graining also divides the correlation length measured in lattice spacings, so </w:t>
      </w:r>
      <m:oMath>
        <m:r>
          <m:t>ξ(t)=b</m:t>
        </m:r>
        <m:r>
          <m:t>ξ(</m:t>
        </m:r>
        <m:sSup>
          <m:e>
            <m:r>
              <m:t>b</m:t>
            </m:r>
          </m:e>
          <m:sup>
            <m:sSub>
              <m:e>
                <m:r>
                  <m:t>y</m:t>
                </m:r>
              </m:e>
              <m:sub>
                <m:r>
                  <m:t>t</m:t>
                </m:r>
              </m:sub>
            </m:sSub>
          </m:sup>
        </m:sSup>
        <m:r>
          <m:t>t)</m:t>
        </m:r>
      </m:oMath>
      <w:r>
        <w:rPr>
          <w:i w:val="0"/>
        </w:rPr>
        <w:t xml:space="preserve">, and the same </w:t>
      </w:r>
      <m:oMath>
        <m:r>
          <m:t>b</m:t>
        </m:r>
      </m:oMath>
      <w:r>
        <w:rPr>
          <w:i w:val="0"/>
        </w:rPr>
        <w:t xml:space="preserve"> gives </w:t>
      </w:r>
      <m:oMath>
        <m:r>
          <m:t>ν=1/</m:t>
        </m:r>
        <m:sSub>
          <m:e>
            <m:r>
              <m:t>y</m:t>
            </m:r>
          </m:e>
          <m:sub>
            <m:r>
              <m:t>t</m:t>
            </m:r>
          </m:sub>
        </m:sSub>
      </m:oMath>
      <w:r>
        <w:rPr>
          <w:i w:val="0"/>
        </w:rPr>
        <w:t xml:space="preserve"> exactly.</w:t>
      </w:r>
    </w:p>
    <w:p>
      <w:r>
        <w:rPr>
          <w:i w:val="0"/>
        </w:rPr>
        <w:t xml:space="preserve">The correlation function fixes the other eigenvalue. The local spin carries the weight just computed for </w:t>
      </w:r>
      <m:oMath>
        <m:r>
          <m:t>m</m:t>
        </m:r>
      </m:oMath>
      <w:r>
        <w:rPr>
          <w:i w:val="0"/>
        </w:rPr>
        <w:t xml:space="preserve">, so a field of that weight has correlations decaying as </w:t>
      </w:r>
      <m:oMath>
        <m:sSup>
          <m:e>
            <m:r>
              <m:t>r</m:t>
            </m:r>
          </m:e>
          <m:sup>
            <m:r>
              <m:t>−2(d−</m:t>
            </m:r>
            <m:sSub>
              <m:e>
                <m:r>
                  <m:t>y</m:t>
                </m:r>
              </m:e>
              <m:sub>
                <m:r>
                  <m:t>h</m:t>
                </m:r>
              </m:sub>
            </m:sSub>
            <m:r>
              <m:t>)</m:t>
            </m:r>
          </m:sup>
        </m:sSup>
      </m:oMath>
      <w:r>
        <w:rPr>
          <w:i w:val="0"/>
        </w:rPr>
        <w:t xml:space="preserve"> at the critical point. Matching against the definition of </w:t>
      </w:r>
      <m:oMath>
        <m:r>
          <m:t>η</m:t>
        </m:r>
      </m:oMath>
      <w:r>
        <w:rPr>
          <w:i w:val="0"/>
        </w:rPr>
        <w:t xml:space="preserve"> gives </w:t>
      </w:r>
      <m:oMath>
        <m:sSub>
          <m:e>
            <m:r>
              <m:t>y</m:t>
            </m:r>
          </m:e>
          <m:sub>
            <m:r>
              <m:t>h</m:t>
            </m:r>
          </m:sub>
        </m:sSub>
        <m:r>
          <m:t>=(d+2−η)/2</m:t>
        </m:r>
      </m:oMath>
      <w:r>
        <w:rPr>
          <w:i w:val="0"/>
        </w:rPr>
        <w:t>, and with it</w:t>
      </w:r>
    </w:p>
    <w:p>
      <w:pPr>
        <w:spacing w:before="200" w:after="200"/>
        <w:ind w:firstLine="0"/>
        <w:jc w:val="center"/>
        <w:contextualSpacing w:val="0"/>
      </w:pPr>
      <m:oMath>
        <m:r>
          <m:t>γ=</m:t>
        </m:r>
        <m:f>
          <m:fPr>
            <m:type m:val="bar"/>
          </m:fPr>
          <m:num>
            <m:r>
              <m:t>2</m:t>
            </m:r>
            <m:sSub>
              <m:e>
                <m:r>
                  <m:t>y</m:t>
                </m:r>
              </m:e>
              <m:sub>
                <m:r>
                  <m:t>h</m:t>
                </m:r>
              </m:sub>
            </m:sSub>
            <m:r>
              <m:t>−d</m:t>
            </m:r>
          </m:num>
          <m:den>
            <m:sSub>
              <m:e>
                <m:r>
                  <m:t>y</m:t>
                </m:r>
              </m:e>
              <m:sub>
                <m:r>
                  <m:t>t</m:t>
                </m:r>
              </m:sub>
            </m:sSub>
          </m:den>
        </m:f>
        <m:r>
          <m:t>=</m:t>
        </m:r>
        <m:f>
          <m:fPr>
            <m:type m:val="bar"/>
          </m:fPr>
          <m:num>
            <m:r>
              <m:t>2−η</m:t>
            </m:r>
          </m:num>
          <m:den>
            <m:sSub>
              <m:e>
                <m:r>
                  <m:t>y</m:t>
                </m:r>
              </m:e>
              <m:sub>
                <m:r>
                  <m:t>t</m:t>
                </m:r>
              </m:sub>
            </m:sSub>
          </m:den>
        </m:f>
        <m:r>
          <m:t>=ν</m:t>
        </m:r>
        <m:r>
          <m:t>(2−η),</m:t>
        </m:r>
      </m:oMath>
    </w:p>
    <w:p>
      <w:r>
        <w:rPr>
          <w:i w:val="0"/>
        </w:rPr>
        <w:t xml:space="preserve">which is Fisher's relation, with </w:t>
      </w:r>
      <m:oMath>
        <m:r>
          <m:t>β=ν(d−2+η)/2</m:t>
        </m:r>
      </m:oMath>
      <w:r>
        <w:rPr>
          <w:i w:val="0"/>
        </w:rPr>
        <w:t xml:space="preserve"> alongside it, so any two exponents fix the rest. Combining </w:t>
      </w:r>
      <m:oMath>
        <m:r>
          <m:t>ν=1/</m:t>
        </m:r>
        <m:sSub>
          <m:e>
            <m:r>
              <m:t>y</m:t>
            </m:r>
          </m:e>
          <m:sub>
            <m:r>
              <m:t>t</m:t>
            </m:r>
          </m:sub>
        </m:sSub>
      </m:oMath>
      <w:r>
        <w:rPr>
          <w:i w:val="0"/>
        </w:rPr>
        <w:t xml:space="preserve"> with </w:t>
      </w:r>
      <m:oMath>
        <m:r>
          <m:t>2−α=d/</m:t>
        </m:r>
        <m:sSub>
          <m:e>
            <m:r>
              <m:t>y</m:t>
            </m:r>
          </m:e>
          <m:sub>
            <m:r>
              <m:t>t</m:t>
            </m:r>
          </m:sub>
        </m:sSub>
      </m:oMath>
      <w:r>
        <w:rPr>
          <w:i w:val="0"/>
        </w:rPr>
        <w:t xml:space="preserve"> gives hyperscaling, </w:t>
      </w:r>
      <m:oMath>
        <m:r>
          <m:t>2−α=dν</m:t>
        </m:r>
      </m:oMath>
      <w:r>
        <w:rPr>
          <w:i w:val="0"/>
        </w:rPr>
        <w:t xml:space="preserve">, the only relation of the group containing the spatial dimension and the only one that can fail: above four dimensions mean-field theory gives </w:t>
      </w:r>
      <m:oMath>
        <m:r>
          <m:t>2−α=2</m:t>
        </m:r>
      </m:oMath>
      <w:r>
        <w:rPr>
          <w:i w:val="0"/>
        </w:rPr>
        <w:t xml:space="preserve"> against </w:t>
      </w:r>
      <m:oMath>
        <m:r>
          <m:t>dν=d/2</m:t>
        </m:r>
      </m:oMath>
      <w:r>
        <w:rPr>
          <w:i w:val="0"/>
        </w:rPr>
        <w:t>.</w:t>
      </w:r>
    </w:p>
    <w:p>
      <w:r>
        <w:rPr>
          <w:i w:val="0"/>
        </w:rPr>
        <w:t xml:space="preserve">The two-dimensional numbers already in hand test the machinery. Onsager's specific heat gives </w:t>
      </w:r>
      <m:oMath>
        <m:r>
          <m:t>α=0</m:t>
        </m:r>
      </m:oMath>
      <w:r>
        <w:rPr>
          <w:i w:val="0"/>
        </w:rPr>
        <w:t xml:space="preserve"> and Yang's magnetisation gives </w:t>
      </w:r>
      <m:oMath>
        <m:r>
          <m:t>β=1/8</m:t>
        </m:r>
      </m:oMath>
      <w:r>
        <w:rPr>
          <w:i w:val="0"/>
        </w:rPr>
        <w:t xml:space="preserve">. Rushbrooke's relation then returns </w:t>
      </w:r>
      <m:oMath>
        <m:r>
          <m:t>γ=7/4</m:t>
        </m:r>
      </m:oMath>
      <w:r>
        <w:rPr>
          <w:i w:val="0"/>
        </w:rPr>
        <w:t xml:space="preserve">, hyperscaling at </w:t>
      </w:r>
      <m:oMath>
        <m:r>
          <m:t>d=2</m:t>
        </m:r>
      </m:oMath>
      <w:r>
        <w:rPr>
          <w:i w:val="0"/>
        </w:rPr>
        <w:t xml:space="preserve"> returns </w:t>
      </w:r>
      <m:oMath>
        <m:r>
          <m:t>ν=1</m:t>
        </m:r>
      </m:oMath>
      <w:r>
        <w:rPr>
          <w:i w:val="0"/>
        </w:rPr>
        <w:t xml:space="preserve">, and Fisher's relation returns </w:t>
      </w:r>
      <m:oMath>
        <m:r>
          <m:t>η=2−γ/ν=1/4</m:t>
        </m:r>
      </m:oMath>
      <w:r>
        <w:rPr>
          <w:i w:val="0"/>
        </w:rPr>
        <w:t>. All are the known exact values, and only the first two were input.</w:t>
      </w:r>
    </w:p>
    <w:p>
      <w:r>
        <w:rPr>
          <w:i w:val="0"/>
        </w:rPr>
        <w:t xml:space="preserve">The four itself is fixed by the Landau expansion. Below </w:t>
      </w:r>
      <m:oMath>
        <m:sSub>
          <m:e>
            <m:r>
              <m:t>T</m:t>
            </m:r>
          </m:e>
          <m:sub>
            <m:r>
              <m:t>c</m:t>
            </m:r>
          </m:sub>
        </m:sSub>
      </m:oMath>
      <w:r>
        <w:rPr>
          <w:i w:val="0"/>
        </w:rPr>
        <w:t xml:space="preserve"> it gives </w:t>
      </w:r>
      <m:oMath>
        <m:sSubSup>
          <m:e>
            <m:r>
              <m:t>ϕ</m:t>
            </m:r>
          </m:e>
          <m:sub>
            <m:r>
              <m:t>0</m:t>
            </m:r>
          </m:sub>
          <m:sup>
            <m:r>
              <m:t>2</m:t>
            </m:r>
          </m:sup>
        </m:sSubSup>
        <m:r>
          <m:t>~|t|~</m:t>
        </m:r>
        <m:sSup>
          <m:e>
            <m:r>
              <m:t>ξ</m:t>
            </m:r>
          </m:e>
          <m:sup>
            <m:r>
              <m:t>−2</m:t>
            </m:r>
          </m:sup>
        </m:sSup>
      </m:oMath>
      <w:r>
        <w:rPr>
          <w:i w:val="0"/>
        </w:rPr>
        <w:t xml:space="preserve">, while Gaussian fluctuations averaged over one correlation volume are of order </w:t>
      </w:r>
      <m:oMath>
        <m:sSup>
          <m:e>
            <m:r>
              <m:t>ξ</m:t>
            </m:r>
          </m:e>
          <m:sup>
            <m:r>
              <m:t>2−d</m:t>
            </m:r>
          </m:sup>
        </m:sSup>
      </m:oMath>
      <w:r>
        <w:rPr>
          <w:i w:val="0"/>
        </w:rPr>
        <w:t xml:space="preserve">, so the ratio of what was neglected to what was kept is </w:t>
      </w:r>
      <m:oMath>
        <m:sSup>
          <m:e>
            <m:r>
              <m:t>ξ</m:t>
            </m:r>
          </m:e>
          <m:sup>
            <m:r>
              <m:t>4−d</m:t>
            </m:r>
          </m:sup>
        </m:sSup>
      </m:oMath>
      <w:r>
        <w:rPr>
          <w:i w:val="0"/>
        </w:rPr>
        <w:t>. That vanishes above four dimensions and grows without bound below. This is the Levanyuk-Ginzburg criterion, given by Anatoly P. Levanyuk in 1959 as a fluctuation estimate bounding the validity of Landau theory, and by Vitaly Lazarevich Ginzburg in 1960 at the P. N. Lebedev Physical Institute in Moscow. The same estimate makes that region's width scale as the inverse sixth power of the interaction range, unobservably narrow in conventional superconductors, wide in short-range magnets.</w:t>
      </w:r>
    </w:p>
    <w:p>
      <w:pPr>
        <w:pStyle w:val="BookSection"/>
      </w:pPr>
      <w:r>
        <w:t>The flow</w:t>
      </w:r>
    </w:p>
    <w:p>
      <w:r>
        <w:rPr>
          <w:i w:val="0"/>
        </w:rPr>
        <w:t xml:space="preserve">The block-spin picture has a defect: nothing guarantees that the coarse-grained system is again an Ising model. Averaging over the interior of a cell generates couplings that were not there before, between next-nearest neighbours and among four spins at a time. The coarse-grained Hamiltonian lives in a space of infinitely many couplings, not the two-dimensional space of </w:t>
      </w:r>
      <m:oMath>
        <m:r>
          <m:t>J</m:t>
        </m:r>
      </m:oMath>
      <w:r>
        <w:rPr>
          <w:i w:val="0"/>
        </w:rPr>
        <w:t xml:space="preserve"> and </w:t>
      </w:r>
      <m:oMath>
        <m:r>
          <m:t>h</m:t>
        </m:r>
      </m:oMath>
      <w:r>
        <w:rPr>
          <w:i w:val="0"/>
        </w:rPr>
        <w:t>.</w:t>
      </w:r>
    </w:p>
    <w:p>
      <w:r>
        <w:rPr>
          <w:i w:val="0"/>
        </w:rPr>
        <w:t xml:space="preserve">Kenneth Geddes Wilson, at Cornell University, turned the defect into the method, in two companion papers of 1971. The first recasts coarse-graining as a differential flow: with couplings </w:t>
      </w:r>
      <m:oMath>
        <m:d>
          <m:dPr>
            <m:begChr m:val="{"/>
            <m:sepChr m:val=""/>
            <m:endChr m:val="}"/>
          </m:dPr>
          <m:e>
            <m:sSub>
              <m:e>
                <m:r>
                  <m:t>g</m:t>
                </m:r>
              </m:e>
              <m:sub>
                <m:r>
                  <m:t>i</m:t>
                </m:r>
              </m:sub>
            </m:sSub>
          </m:e>
        </m:d>
      </m:oMath>
      <w:r>
        <w:rPr>
          <w:i w:val="0"/>
        </w:rPr>
        <w:t xml:space="preserve"> and scale </w:t>
      </w:r>
      <m:oMath>
        <m:r>
          <m:t>b=</m:t>
        </m:r>
        <m:sSup>
          <m:e>
            <m:r>
              <m:t>e</m:t>
            </m:r>
          </m:e>
          <m:sup>
            <m:r>
              <m:t>ℓ</m:t>
            </m:r>
          </m:sup>
        </m:sSup>
      </m:oMath>
      <w:r>
        <w:rPr>
          <w:i w:val="0"/>
        </w:rPr>
        <w:t xml:space="preserve">, iteration gives </w:t>
      </w:r>
      <m:oMath>
        <m:r>
          <m:t>d</m:t>
        </m:r>
        <m:sSub>
          <m:e>
            <m:r>
              <m:t>g</m:t>
            </m:r>
          </m:e>
          <m:sub>
            <m:r>
              <m:t>i</m:t>
            </m:r>
          </m:sub>
        </m:sSub>
        <m:r>
          <m:t>/dℓ=</m:t>
        </m:r>
        <m:sSub>
          <m:e>
            <m:r>
              <m:t>β</m:t>
            </m:r>
          </m:e>
          <m:sub>
            <m:r>
              <m:t>i</m:t>
            </m:r>
          </m:sub>
        </m:sSub>
        <m:r>
          <m:t>({g})</m:t>
        </m:r>
      </m:oMath>
      <w:r>
        <w:rPr>
          <w:i w:val="0"/>
        </w:rPr>
        <w:t xml:space="preserve">, the beta functions of the flow, a use of the letter unrelated to the order-parameter exponent. Scaling then follows from differential equations rather than from a homogeneity hypothesis. The second paper performs the elimination octave by octave, and the resulting recursion, solved numerically, gave a </w:t>
      </w:r>
      <m:oMath>
        <m:r>
          <m:t>ν</m:t>
        </m:r>
      </m:oMath>
      <w:r>
        <w:rPr>
          <w:i w:val="0"/>
        </w:rPr>
        <w:t xml:space="preserve"> in three dimensions clearly different from the classical </w:t>
      </w:r>
      <m:oMath>
        <m:f>
          <m:fPr>
            <m:type m:val="lin"/>
          </m:fPr>
          <m:num>
            <m:r>
              <m:t>1</m:t>
            </m:r>
          </m:num>
          <m:den>
            <m:r>
              <m:t>2</m:t>
            </m:r>
          </m:den>
        </m:f>
      </m:oMath>
      <w:r>
        <w:rPr>
          <w:i w:val="0"/>
        </w:rPr>
        <w:t>.</w:t>
      </w:r>
    </w:p>
    <w:p>
      <w:r>
        <w:rPr>
          <w:i w:val="0"/>
        </w:rPr>
        <w:t xml:space="preserve">A flow needs a starting Hamiltonian, and a lattice of two-valued spins is an awkward one. So take Kadanoff's block average and keep it as the real number it is rather than forcing it back to </w:t>
      </w:r>
      <m:oMath>
        <m:r>
          <m:t>±1</m:t>
        </m:r>
      </m:oMath>
      <w:r>
        <w:rPr>
          <w:i w:val="0"/>
        </w:rPr>
        <w:t xml:space="preserve">, calling that field </w:t>
      </w:r>
      <m:oMath>
        <m:r>
          <m:t>ϕ(x)</m:t>
        </m:r>
      </m:oMath>
      <w:r>
        <w:rPr>
          <w:i w:val="0"/>
        </w:rPr>
        <w:t xml:space="preserve">. What the sum over microscopic configurations leaves behind for </w:t>
      </w:r>
      <m:oMath>
        <m:r>
          <m:t>ϕ</m:t>
        </m:r>
      </m:oMath>
      <w:r>
        <w:rPr>
          <w:i w:val="0"/>
        </w:rPr>
        <w:t xml:space="preserve"> must be even under </w:t>
      </w:r>
      <m:oMath>
        <m:r>
          <m:t>ϕ→−ϕ</m:t>
        </m:r>
      </m:oMath>
      <w:r>
        <w:rPr>
          <w:i w:val="0"/>
        </w:rPr>
        <w:t xml:space="preserve"> in zero field, local because the microscopic interaction was, and costly in variation from cell to cell. The leading permitted terms are therefore </w:t>
      </w:r>
      <m:oMath>
        <m:sSup>
          <m:e>
            <m:d>
              <m:dPr>
                <m:sepChr m:val=""/>
              </m:dPr>
              <m:e>
                <m:r>
                  <m:t>∇</m:t>
                </m:r>
                <m:r>
                  <m:t>ϕ</m:t>
                </m:r>
              </m:e>
            </m:d>
          </m:e>
          <m:sup>
            <m:r>
              <m:t>2</m:t>
            </m:r>
          </m:sup>
        </m:sSup>
      </m:oMath>
      <w:r>
        <w:rPr>
          <w:i w:val="0"/>
        </w:rPr>
        <w:t>, a quadratic term and a quartic term. Whether the discarded terms are harmless is the question the flow exists to answer.</w:t>
      </w:r>
    </w:p>
    <w:p>
      <w:r>
        <w:rPr>
          <w:i w:val="0"/>
        </w:rPr>
        <w:t xml:space="preserve">Take then a field of </w:t>
      </w:r>
      <m:oMath>
        <m:r>
          <m:t>n</m:t>
        </m:r>
      </m:oMath>
      <w:r>
        <w:rPr>
          <w:i w:val="0"/>
        </w:rPr>
        <w:t xml:space="preserve"> components, a quadratic term whose coefficient </w:t>
      </w:r>
      <m:oMath>
        <m:r>
          <m:t>r</m:t>
        </m:r>
      </m:oMath>
      <w:r>
        <w:rPr>
          <w:i w:val="0"/>
        </w:rPr>
        <w:t xml:space="preserve"> measures the distance from the mean-field transition, and a quartic term </w:t>
      </w:r>
      <m:oMath>
        <m:r>
          <m:t>u(ϕ·ϕ</m:t>
        </m:r>
        <m:sSup>
          <m:e>
            <m:r>
              <m:t>)</m:t>
            </m:r>
          </m:e>
          <m:sup>
            <m:r>
              <m:t>2</m:t>
            </m:r>
          </m:sup>
        </m:sSup>
      </m:oMath>
      <w:r>
        <w:rPr>
          <w:i w:val="0"/>
        </w:rPr>
        <w:t xml:space="preserve">, cut off at </w:t>
      </w:r>
      <m:oMath>
        <m:r>
          <m:t>|k|&lt;Λ</m:t>
        </m:r>
      </m:oMath>
      <w:r>
        <w:rPr>
          <w:i w:val="0"/>
        </w:rPr>
        <w:t xml:space="preserve">. Split the field at </w:t>
      </w:r>
      <m:oMath>
        <m:f>
          <m:fPr>
            <m:type m:val="lin"/>
          </m:fPr>
          <m:num>
            <m:r>
              <m:t>Λ</m:t>
            </m:r>
          </m:num>
          <m:den>
            <m:r>
              <m:t>b</m:t>
            </m:r>
          </m:den>
        </m:f>
      </m:oMath>
      <w:r>
        <w:rPr>
          <w:i w:val="0"/>
        </w:rPr>
        <w:t xml:space="preserve"> and integrate out the shell </w:t>
      </w:r>
      <m:oMath>
        <m:r>
          <m:t>Λ/b&lt;|k|&lt;Λ</m:t>
        </m:r>
      </m:oMath>
      <w:r>
        <w:rPr>
          <w:i w:val="0"/>
        </w:rPr>
        <w:t xml:space="preserve">. Contracting two of a vertex's four fields across the shell shifts </w:t>
      </w:r>
      <m:oMath>
        <m:r>
          <m:t>r</m:t>
        </m:r>
      </m:oMath>
      <w:r>
        <w:rPr>
          <w:i w:val="0"/>
        </w:rPr>
        <w:t xml:space="preserve">; joining two vertices by a pair of shell propagators shifts </w:t>
      </w:r>
      <m:oMath>
        <m:r>
          <m:t>u</m:t>
        </m:r>
      </m:oMath>
      <w:r>
        <w:rPr>
          <w:i w:val="0"/>
        </w:rPr>
        <w:t xml:space="preserve">. Each contraction contributes the same shell integral, whose constant is absorbed into the normalisation of </w:t>
      </w:r>
      <m:oMath>
        <m:r>
          <m:t>u</m:t>
        </m:r>
      </m:oMath>
      <w:r>
        <w:rPr>
          <w:i w:val="0"/>
        </w:rPr>
        <w:t xml:space="preserve">, with </w:t>
      </w:r>
      <m:oMath>
        <m:r>
          <m:t>r</m:t>
        </m:r>
      </m:oMath>
      <w:r>
        <w:rPr>
          <w:i w:val="0"/>
        </w:rPr>
        <w:t xml:space="preserve"> measured in units of </w:t>
      </w:r>
      <m:oMath>
        <m:sSup>
          <m:e>
            <m:r>
              <m:t>Λ</m:t>
            </m:r>
          </m:e>
          <m:sup>
            <m:r>
              <m:t>2</m:t>
            </m:r>
          </m:sup>
        </m:sSup>
      </m:oMath>
      <w:r>
        <w:rPr>
          <w:i w:val="0"/>
        </w:rPr>
        <w:t xml:space="preserve">; the exponents do not depend on those conventions. What cannot be absorbed is the counting of internal indices, which gives </w:t>
      </w:r>
      <m:oMath>
        <m:r>
          <m:t>n+2</m:t>
        </m:r>
      </m:oMath>
      <w:r>
        <w:rPr>
          <w:i w:val="0"/>
        </w:rPr>
        <w:t xml:space="preserve"> at one vertex and </w:t>
      </w:r>
      <m:oMath>
        <m:r>
          <m:t>n+8</m:t>
        </m:r>
      </m:oMath>
      <w:r>
        <w:rPr>
          <w:i w:val="0"/>
        </w:rPr>
        <w:t xml:space="preserve"> between two. Rescaling to keep the gradient term invariant forces </w:t>
      </w:r>
      <m:oMath>
        <m:r>
          <m:t>u</m:t>
        </m:r>
      </m:oMath>
      <w:r>
        <w:rPr>
          <w:i w:val="0"/>
        </w:rPr>
        <w:t xml:space="preserve"> to carry length dimension </w:t>
      </w:r>
      <m:oMath>
        <m:r>
          <m:t>d−4</m:t>
        </m:r>
      </m:oMath>
      <w:r>
        <w:rPr>
          <w:i w:val="0"/>
        </w:rPr>
        <w:t xml:space="preserve">, so with </w:t>
      </w:r>
      <m:oMath>
        <m:r>
          <m:t>ϵ=4−d</m:t>
        </m:r>
      </m:oMath>
      <w:r>
        <w:rPr>
          <w:i w:val="0"/>
        </w:rPr>
        <w:t xml:space="preserve"> the two flows read</w:t>
      </w:r>
    </w:p>
    <w:p>
      <w:pPr>
        <w:spacing w:before="200" w:after="200"/>
        <w:ind w:firstLine="0"/>
        <w:jc w:val="center"/>
        <w:contextualSpacing w:val="0"/>
      </w:pPr>
      <m:oMath>
        <m:f>
          <m:fPr>
            <m:type m:val="bar"/>
          </m:fPr>
          <m:num>
            <m:r>
              <m:t>du</m:t>
            </m:r>
          </m:num>
          <m:den>
            <m:r>
              <m:t>dℓ</m:t>
            </m:r>
          </m:den>
        </m:f>
        <m:r>
          <m:t>=ϵ</m:t>
        </m:r>
        <m:r>
          <m:t>u−(n+8)</m:t>
        </m:r>
        <m:sSup>
          <m:e>
            <m:r>
              <m:t>u</m:t>
            </m:r>
          </m:e>
          <m:sup>
            <m:r>
              <m:t>2</m:t>
            </m:r>
          </m:sup>
        </m:sSup>
        <m:r>
          <m:t>+…,</m:t>
        </m:r>
        <m:f>
          <m:fPr>
            <m:type m:val="bar"/>
          </m:fPr>
          <m:num>
            <m:r>
              <m:t>dr</m:t>
            </m:r>
          </m:num>
          <m:den>
            <m:r>
              <m:t>dℓ</m:t>
            </m:r>
          </m:den>
        </m:f>
        <m:r>
          <m:t>=2r+(n+2)</m:t>
        </m:r>
        <m:r>
          <m:t>u</m:t>
        </m:r>
        <m:r>
          <m:t>(1−r)+…,</m:t>
        </m:r>
      </m:oMath>
    </w:p>
    <w:p>
      <w:r>
        <w:rPr>
          <w:i w:val="0"/>
        </w:rPr>
        <w:t xml:space="preserve">with </w:t>
      </w:r>
      <m:oMath>
        <m:r>
          <m:t>n=1</m:t>
        </m:r>
      </m:oMath>
      <w:r>
        <w:rPr>
          <w:i w:val="0"/>
        </w:rPr>
        <w:t xml:space="preserve"> for the Ising model, the second being the linearisation of the recursion in which the shell propagator carries a factor </w:t>
      </w:r>
      <m:oMath>
        <m:r>
          <m:t>1/(1+r)</m:t>
        </m:r>
      </m:oMath>
      <w:r>
        <w:rPr>
          <w:i w:val="0"/>
        </w:rPr>
        <w:t>.</w:t>
      </w:r>
    </w:p>
    <w:p>
      <w:r>
        <w:rPr>
          <w:i w:val="0"/>
        </w:rPr>
        <w:t xml:space="preserve">For </w:t>
      </w:r>
      <m:oMath>
        <m:r>
          <m:t>d&gt;4</m:t>
        </m:r>
      </m:oMath>
      <w:r>
        <w:rPr>
          <w:i w:val="0"/>
        </w:rPr>
        <w:t xml:space="preserve"> the coupling dies and the surviving fixed point is the Gaussian one at </w:t>
      </w:r>
      <m:oMath>
        <m:r>
          <m:t>u=0</m:t>
        </m:r>
      </m:oMath>
      <w:r>
        <w:rPr>
          <w:i w:val="0"/>
        </w:rPr>
        <w:t xml:space="preserve">, where mean-field exponents hold. For </w:t>
      </w:r>
      <m:oMath>
        <m:r>
          <m:t>d&lt;4</m:t>
        </m:r>
      </m:oMath>
      <w:r>
        <w:rPr>
          <w:i w:val="0"/>
        </w:rPr>
        <w:t xml:space="preserve"> it grows, and the flow reaches a new fixed point at </w:t>
      </w:r>
      <m:oMath>
        <m:sSup>
          <m:e>
            <m:r>
              <m:t>u</m:t>
            </m:r>
          </m:e>
          <m:sup>
            <m:r>
              <m:t>*</m:t>
            </m:r>
          </m:sup>
        </m:sSup>
        <m:r>
          <m:t>=ϵ/(n+8)</m:t>
        </m:r>
      </m:oMath>
      <w:r>
        <w:rPr>
          <w:i w:val="0"/>
        </w:rPr>
        <w:t xml:space="preserve">, the Wilson-Fisher fixed point, a distance of order </w:t>
      </w:r>
      <m:oMath>
        <m:r>
          <m:t>ϵ</m:t>
        </m:r>
      </m:oMath>
      <w:r>
        <w:rPr>
          <w:i w:val="0"/>
        </w:rPr>
        <w:t xml:space="preserve"> from the Gaussian one. Perturbation theory about the Gaussian theory therefore controls it when </w:t>
      </w:r>
      <m:oMath>
        <m:r>
          <m:t>ϵ</m:t>
        </m:r>
      </m:oMath>
      <w:r>
        <w:rPr>
          <w:i w:val="0"/>
        </w:rPr>
        <w:t xml:space="preserve"> is small, and the resulting series in powers of </w:t>
      </w:r>
      <m:oMath>
        <m:r>
          <m:t>ϵ</m:t>
        </m:r>
      </m:oMath>
      <w:r>
        <w:rPr>
          <w:i w:val="0"/>
        </w:rPr>
        <w:t xml:space="preserve"> is the epsilon expansion. Wilson and Fisher located that fixed point in 1972, in a paper titled "Critical Exponents in 3.99 Dimensions," treating the dimension as a continuous parameter, legitimate because the recursion relations depend on </w:t>
      </w:r>
      <m:oMath>
        <m:r>
          <m:t>d</m:t>
        </m:r>
      </m:oMath>
      <w:r>
        <w:rPr>
          <w:i w:val="0"/>
        </w:rPr>
        <w:t xml:space="preserve"> only through analytic factors.</w:t>
      </w:r>
    </w:p>
    <w:p>
      <w:r>
        <w:rPr>
          <w:i w:val="0"/>
        </w:rPr>
        <w:t xml:space="preserve">The temperature eigenvalue follows. The coefficient of </w:t>
      </w:r>
      <m:oMath>
        <m:r>
          <m:t>r</m:t>
        </m:r>
      </m:oMath>
      <w:r>
        <w:rPr>
          <w:i w:val="0"/>
        </w:rPr>
        <w:t xml:space="preserve"> in the second flow is </w:t>
      </w:r>
      <m:oMath>
        <m:r>
          <m:t>2−(n+2)u</m:t>
        </m:r>
      </m:oMath>
      <w:r>
        <w:rPr>
          <w:i w:val="0"/>
        </w:rPr>
        <w:t xml:space="preserve">, so at the fixed point </w:t>
      </w:r>
      <m:oMath>
        <m:sSub>
          <m:e>
            <m:r>
              <m:t>y</m:t>
            </m:r>
          </m:e>
          <m:sub>
            <m:r>
              <m:t>t</m:t>
            </m:r>
          </m:sub>
        </m:sSub>
        <m:r>
          <m:t>=2−ϵ(n+2)/(n+8)</m:t>
        </m:r>
      </m:oMath>
      <w:r>
        <w:rPr>
          <w:i w:val="0"/>
        </w:rPr>
        <w:t xml:space="preserve">. Since </w:t>
      </w:r>
      <m:oMath>
        <m:r>
          <m:t>ν=1/</m:t>
        </m:r>
        <m:sSub>
          <m:e>
            <m:r>
              <m:t>y</m:t>
            </m:r>
          </m:e>
          <m:sub>
            <m:r>
              <m:t>t</m:t>
            </m:r>
          </m:sub>
        </m:sSub>
      </m:oMath>
      <w:r>
        <w:rPr>
          <w:i w:val="0"/>
        </w:rPr>
        <w:t xml:space="preserve">, expanding to first order at </w:t>
      </w:r>
      <m:oMath>
        <m:r>
          <m:t>n=1</m:t>
        </m:r>
      </m:oMath>
      <w:r>
        <w:rPr>
          <w:i w:val="0"/>
        </w:rPr>
        <w:t xml:space="preserve"> gives </w:t>
      </w:r>
      <m:oMath>
        <m:r>
          <m:t>ν=1/2+ϵ/12</m:t>
        </m:r>
      </m:oMath>
      <w:r>
        <w:rPr>
          <w:i w:val="0"/>
        </w:rPr>
        <w:t xml:space="preserve">. Fisher's relation converts that at once: </w:t>
      </w:r>
      <m:oMath>
        <m:r>
          <m:t>η</m:t>
        </m:r>
      </m:oMath>
      <w:r>
        <w:rPr>
          <w:i w:val="0"/>
        </w:rPr>
        <w:t xml:space="preserve"> vanishes at one loop, its first contribution being of order </w:t>
      </w:r>
      <m:oMath>
        <m:sSup>
          <m:e>
            <m:r>
              <m:t>ϵ</m:t>
            </m:r>
          </m:e>
          <m:sup>
            <m:r>
              <m:t>2</m:t>
            </m:r>
          </m:sup>
        </m:sSup>
      </m:oMath>
      <w:r>
        <w:rPr>
          <w:i w:val="0"/>
        </w:rPr>
        <w:t xml:space="preserve">, so </w:t>
      </w:r>
      <m:oMath>
        <m:r>
          <m:t>γ=ν(2−η)=2ν=1+ϵ/6</m:t>
        </m:r>
      </m:oMath>
      <w:r>
        <w:rPr>
          <w:i w:val="0"/>
        </w:rPr>
        <w:t xml:space="preserve"> to this accuracy, which is the form the 1972 paper prints. Setting </w:t>
      </w:r>
      <m:oMath>
        <m:r>
          <m:t>ϵ=1</m:t>
        </m:r>
      </m:oMath>
      <w:r>
        <w:rPr>
          <w:i w:val="0"/>
        </w:rPr>
        <w:t xml:space="preserve"> gives </w:t>
      </w:r>
      <m:oMath>
        <m:r>
          <m:t>ν≈0.583</m:t>
        </m:r>
      </m:oMath>
      <w:r>
        <w:rPr>
          <w:i w:val="0"/>
        </w:rPr>
        <w:t xml:space="preserve"> against a modern value near </w:t>
      </w:r>
      <m:oMath>
        <m:r>
          <m:t>0.630</m:t>
        </m:r>
      </m:oMath>
      <w:r>
        <w:rPr>
          <w:i w:val="0"/>
        </w:rPr>
        <w:t>. The series is asymptotic rather than convergent, but each further order is computable.</w:t>
      </w:r>
    </w:p>
    <w:p>
      <w:r>
        <w:rPr>
          <w:i w:val="0"/>
        </w:rPr>
        <w:t xml:space="preserve">The same calculation gives the general picture. A critical point is a fixed point, a set of couplings reproducing itself under coarse-graining, which is the algebraic form of scale invariance. Linearising about it, the eigenvalues </w:t>
      </w:r>
      <m:oMath>
        <m:sSub>
          <m:e>
            <m:r>
              <m:t>y</m:t>
            </m:r>
          </m:e>
          <m:sub>
            <m:r>
              <m:t>i</m:t>
            </m:r>
          </m:sub>
        </m:sSub>
      </m:oMath>
      <w:r>
        <w:rPr>
          <w:i w:val="0"/>
        </w:rPr>
        <w:t xml:space="preserve"> classify directions in coupling space: positive ones grow and are relevant, negative ones shrink and are irrelevant. The Ising fixed point has two relevant directions, whose eigenvalues are the </w:t>
      </w:r>
      <m:oMath>
        <m:sSub>
          <m:e>
            <m:r>
              <m:t>y</m:t>
            </m:r>
          </m:e>
          <m:sub>
            <m:r>
              <m:t>t</m:t>
            </m:r>
          </m:sub>
        </m:sSub>
      </m:oMath>
      <w:r>
        <w:rPr>
          <w:i w:val="0"/>
        </w:rPr>
        <w:t xml:space="preserve"> and </w:t>
      </w:r>
      <m:oMath>
        <m:sSub>
          <m:e>
            <m:r>
              <m:t>y</m:t>
            </m:r>
          </m:e>
          <m:sub>
            <m:r>
              <m:t>h</m:t>
            </m:r>
          </m:sub>
        </m:sSub>
      </m:oMath>
      <w:r>
        <w:rPr>
          <w:i w:val="0"/>
        </w:rPr>
        <w:t xml:space="preserve"> of the scaling form, so every relation of the previous section is inherited, and the leading irrelevant eigenvalue supplies </w:t>
      </w:r>
      <m:oMath>
        <m:r>
          <m:t>ω</m:t>
        </m:r>
      </m:oMath>
      <w:r>
        <w:rPr>
          <w:i w:val="0"/>
        </w:rPr>
        <w:t xml:space="preserve">. Above four dimensions the quartic coupling is irrelevant yet cannot be dropped inside the scaling function, since the mean-field </w:t>
      </w:r>
      <m:oMath>
        <m:sSubSup>
          <m:e>
            <m:r>
              <m:t>ϕ</m:t>
            </m:r>
          </m:e>
          <m:sub>
            <m:r>
              <m:t>0</m:t>
            </m:r>
          </m:sub>
          <m:sup>
            <m:r>
              <m:t>2</m:t>
            </m:r>
          </m:sup>
        </m:sSubSup>
        <m:r>
          <m:t>=−at/2u</m:t>
        </m:r>
      </m:oMath>
      <w:r>
        <w:rPr>
          <w:i w:val="0"/>
        </w:rPr>
        <w:t xml:space="preserve"> diverges as </w:t>
      </w:r>
      <m:oMath>
        <m:r>
          <m:t>u</m:t>
        </m:r>
      </m:oMath>
      <w:r>
        <w:rPr>
          <w:i w:val="0"/>
        </w:rPr>
        <w:t xml:space="preserve"> vanishes; such a coupling is dangerously irrelevant, and that is why hyperscaling fails there.</w:t>
      </w:r>
    </w:p>
    <w:p>
      <w:r>
        <w:rPr>
          <w:i w:val="0"/>
        </w:rPr>
        <w:t>Universality is now a statement about basins of attraction. A lattice magnet and a real fluid start at different points in coupling space; if everything distinguishing them lies along irrelevant directions, both arrive at the same fixed point with the same eigenvalues. Continuous positions, soft cores, finite range and molecular shape are irrelevant in that technical sense, and so are the higher powers and gradients dropped when the lattice was traded for a field, which is the answer that substitution was owed. Guggenheim's argon exponent may therefore be set beside a lattice model's.</w:t>
      </w:r>
    </w:p>
    <w:p>
      <w:r>
        <w:rPr>
          <w:i w:val="0"/>
        </w:rPr>
        <w:t xml:space="preserve">The fluid's asymmetry is settled here too, as a fact about coordinates. Relevant directions are eigenvectors of the linearised flow, and eigenvectors are combinations of the physical parameters, not the parameters themselves. A fluid's scaling fields are accordingly mixtures of temperature and chemical potential, and it is this field mixing that puts the drift into the diameter. The exponents belong to the eigenvalues, which mixing does not touch; only the shape of the curve in the experimenter's variables depends on it. Fisher's 1974 review sets out what survives: a universality class is fixed by the dimensionality </w:t>
      </w:r>
      <m:oMath>
        <m:r>
          <m:t>d</m:t>
        </m:r>
      </m:oMath>
      <w:r>
        <w:rPr>
          <w:i w:val="0"/>
        </w:rPr>
        <w:t xml:space="preserve">, the number </w:t>
      </w:r>
      <m:oMath>
        <m:r>
          <m:t>n</m:t>
        </m:r>
      </m:oMath>
      <w:r>
        <w:rPr>
          <w:i w:val="0"/>
        </w:rPr>
        <w:t xml:space="preserve"> of order-parameter components, and the range and anisotropy of the interactions. Wilson, Fisher and Kadanoff shared the Wolf Prize in Physics in 1980, and the Nobel Prize in Physics for 1982 went to Wilson alone, "for his theory for critical phenomena in connection with phase transitions."</w:t>
      </w:r>
    </w:p>
    <w:p>
      <w:pPr>
        <w:pStyle w:val="BookSection"/>
      </w:pPr>
      <w:r>
        <w:t>How well the numbers are now known</w:t>
      </w:r>
    </w:p>
    <w:p>
      <w:r>
        <w:rPr>
          <w:i w:val="0"/>
        </w:rPr>
        <w:t>Martin Hasenbusch set the modern Monte Carlo benchmark for the three-dimensional Ising class in 2010, from finite-size scaling of the spin-</w:t>
      </w:r>
      <m:oMath>
        <m:f>
          <m:fPr>
            <m:type m:val="lin"/>
          </m:fPr>
          <m:num>
            <m:r>
              <m:t>1</m:t>
            </m:r>
          </m:num>
          <m:den>
            <m:r>
              <m:t>2</m:t>
            </m:r>
          </m:den>
        </m:f>
      </m:oMath>
      <w:r>
        <w:rPr>
          <w:i w:val="0"/>
        </w:rPr>
        <w:t xml:space="preserve"> Ising and Blume-Capel models on cubic lattices up to linear size </w:t>
      </w:r>
      <m:oMath>
        <m:r>
          <m:t>360</m:t>
        </m:r>
      </m:oMath>
      <w:r>
        <w:rPr>
          <w:i w:val="0"/>
        </w:rPr>
        <w:t xml:space="preserve">, obtaining </w:t>
      </w:r>
      <m:oMath>
        <m:r>
          <m:t>ν=0.63002(10)</m:t>
        </m:r>
      </m:oMath>
      <w:r>
        <w:rPr>
          <w:i w:val="0"/>
        </w:rPr>
        <w:t xml:space="preserve">, </w:t>
      </w:r>
      <m:oMath>
        <m:r>
          <m:t>η=0.03627(10)</m:t>
        </m:r>
      </m:oMath>
      <w:r>
        <w:rPr>
          <w:i w:val="0"/>
        </w:rPr>
        <w:t xml:space="preserve"> and </w:t>
      </w:r>
      <m:oMath>
        <m:r>
          <m:t>ω=0.832(6)</m:t>
        </m:r>
      </m:oMath>
      <w:r>
        <w:rPr>
          <w:i w:val="0"/>
        </w:rPr>
        <w:t xml:space="preserve">. In 2014 Sheer El-Showk, Miguel F. Paulos, David Poland, Slava Rychkov, David Simmons-Duffin and Alessandro Vichi reached the same class by conformal bootstrap, imposing only symmetry and consistency conditions on a space of field theories with no lattice in it. The bootstrap returned </w:t>
      </w:r>
      <m:oMath>
        <m:r>
          <m:t>ν=0.62999(5)</m:t>
        </m:r>
      </m:oMath>
      <w:r>
        <w:rPr>
          <w:i w:val="0"/>
        </w:rPr>
        <w:t xml:space="preserve">, </w:t>
      </w:r>
      <m:oMath>
        <m:r>
          <m:t>η=0.03631(3)</m:t>
        </m:r>
      </m:oMath>
      <w:r>
        <w:rPr>
          <w:i w:val="0"/>
        </w:rPr>
        <w:t xml:space="preserve"> and </w:t>
      </w:r>
      <m:oMath>
        <m:r>
          <m:t>ω=0.8303(18)</m:t>
        </m:r>
      </m:oMath>
      <w:r>
        <w:rPr>
          <w:i w:val="0"/>
        </w:rPr>
        <w:t>, a factor of two to three more precise. The two agree while sharing no microscopic input.</w:t>
      </w:r>
    </w:p>
    <w:p>
      <w:r>
        <w:rPr>
          <w:i w:val="0"/>
        </w:rPr>
        <w:t xml:space="preserve">Neither list contains </w:t>
      </w:r>
      <m:oMath>
        <m:r>
          <m:t>β</m:t>
        </m:r>
      </m:oMath>
      <w:r>
        <w:rPr>
          <w:i w:val="0"/>
        </w:rPr>
        <w:t xml:space="preserve">, which is not independent. The bootstrap works with the scaling dimension of the spin operator, </w:t>
      </w:r>
      <m:oMath>
        <m:sSub>
          <m:e>
            <m:r>
              <m:t>Δ</m:t>
            </m:r>
          </m:e>
          <m:sub>
            <m:r>
              <m:t>σ</m:t>
            </m:r>
          </m:sub>
        </m:sSub>
        <m:r>
          <m:t>=1/2+η/2</m:t>
        </m:r>
      </m:oMath>
      <w:r>
        <w:rPr>
          <w:i w:val="0"/>
        </w:rPr>
        <w:t xml:space="preserve">, an operator's scaling dimension being related to the eigenvalue of its coupling by </w:t>
      </w:r>
      <m:oMath>
        <m:r>
          <m:t>Δ=d−y</m:t>
        </m:r>
      </m:oMath>
      <w:r>
        <w:rPr>
          <w:i w:val="0"/>
        </w:rPr>
        <w:t xml:space="preserve">. Since </w:t>
      </w:r>
      <m:oMath>
        <m:r>
          <m:t>β=(d−</m:t>
        </m:r>
        <m:sSub>
          <m:e>
            <m:r>
              <m:t>y</m:t>
            </m:r>
          </m:e>
          <m:sub>
            <m:r>
              <m:t>h</m:t>
            </m:r>
          </m:sub>
        </m:sSub>
        <m:r>
          <m:t>)/</m:t>
        </m:r>
        <m:sSub>
          <m:e>
            <m:r>
              <m:t>y</m:t>
            </m:r>
          </m:e>
          <m:sub>
            <m:r>
              <m:t>t</m:t>
            </m:r>
          </m:sub>
        </m:sSub>
      </m:oMath>
      <w:r>
        <w:rPr>
          <w:i w:val="0"/>
        </w:rPr>
        <w:t xml:space="preserve"> and </w:t>
      </w:r>
      <m:oMath>
        <m:r>
          <m:t>ν=1/</m:t>
        </m:r>
        <m:sSub>
          <m:e>
            <m:r>
              <m:t>y</m:t>
            </m:r>
          </m:e>
          <m:sub>
            <m:r>
              <m:t>t</m:t>
            </m:r>
          </m:sub>
        </m:sSub>
      </m:oMath>
      <w:r>
        <w:rPr>
          <w:i w:val="0"/>
        </w:rPr>
        <w:t xml:space="preserve">, the order-parameter exponent is </w:t>
      </w:r>
      <m:oMath>
        <m:r>
          <m:t>β=ν</m:t>
        </m:r>
        <m:sSub>
          <m:e>
            <m:r>
              <m:t>Δ</m:t>
            </m:r>
          </m:e>
          <m:sub>
            <m:r>
              <m:t>σ</m:t>
            </m:r>
          </m:sub>
        </m:sSub>
      </m:oMath>
      <w:r>
        <w:rPr>
          <w:i w:val="0"/>
        </w:rPr>
        <w:t xml:space="preserve">, in three dimensions </w:t>
      </w:r>
      <m:oMath>
        <m:r>
          <m:t>ν(1+η)/2=0.32643(3)</m:t>
        </m:r>
      </m:oMath>
      <w:r>
        <w:rPr>
          <w:i w:val="0"/>
        </w:rPr>
        <w:t xml:space="preserve">. Guggenheim fitted something close to </w:t>
      </w:r>
      <m:oMath>
        <m:f>
          <m:fPr>
            <m:type m:val="lin"/>
          </m:fPr>
          <m:num>
            <m:r>
              <m:t>1</m:t>
            </m:r>
          </m:num>
          <m:den>
            <m:r>
              <m:t>3</m:t>
            </m:r>
          </m:den>
        </m:f>
      </m:oMath>
      <w:r>
        <w:rPr>
          <w:i w:val="0"/>
        </w:rPr>
        <w:t xml:space="preserve"> and Essam and Fisher conjectured </w:t>
      </w:r>
      <m:oMath>
        <m:f>
          <m:fPr>
            <m:type m:val="lin"/>
          </m:fPr>
          <m:num>
            <m:r>
              <m:t>5</m:t>
            </m:r>
          </m:num>
          <m:den>
            <m:r>
              <m:t>16</m:t>
            </m:r>
          </m:den>
        </m:f>
      </m:oMath>
      <w:r>
        <w:rPr>
          <w:i w:val="0"/>
        </w:rPr>
        <w:t xml:space="preserve">. The modern value lies between them, and nowhere near the mean-field </w:t>
      </w:r>
      <m:oMath>
        <m:f>
          <m:fPr>
            <m:type m:val="lin"/>
          </m:fPr>
          <m:num>
            <m:r>
              <m:t>1</m:t>
            </m:r>
          </m:num>
          <m:den>
            <m:r>
              <m:t>2</m:t>
            </m:r>
          </m:den>
        </m:f>
      </m:oMath>
      <w:r>
        <w:rPr>
          <w:i w:val="0"/>
        </w:rPr>
        <w:t>.</w:t>
      </w:r>
    </w:p>
    <w:p>
      <w:pPr>
        <w:pStyle w:val="BookSection"/>
      </w:pPr>
      <w:r>
        <w:t>What was thrown away</w:t>
      </w:r>
    </w:p>
    <w:p>
      <w:r>
        <w:rPr>
          <w:i w:val="0"/>
        </w:rPr>
        <w:t>Philip Warren Anderson argued in 1972 that accepting reductionism does not commit one to constructionism: at each level of complexity entirely new properties appear, broken symmetry being the central example, so the ability to reduce confers no ability to reconstruct. The flow does not establish that claim; it answers a different question. An autonomous large-scale description exists when the flow away from the microscopic scale has finitely many relevant directions, and their number is the number of parameters that description requires, two for the Ising fixed point whatever the material. Where no fixed point governs the flow, the level below is all there is.</w:t>
      </w:r>
    </w:p>
    <w:p>
      <w:r>
        <w:rPr>
          <w:i w:val="0"/>
        </w:rPr>
        <w:t xml:space="preserve">Representation learning invites a comparison and does not immediately earn it. A representation maps a configuration to a vector of much lower dimension, its parameters fixed by minimising a loss, and what it preserves is set by that loss and nothing else. If the objective is to report the temperature at which a configuration was generated, what survives is whatever the readout consults. Both procedures compress, and both have a criterion for what to keep, but the criteria are objects of different kinds. Coarse-graining forms a semigroup: applying it twice at scale </w:t>
      </w:r>
      <m:oMath>
        <m:r>
          <m:t>b</m:t>
        </m:r>
      </m:oMath>
      <w:r>
        <w:rPr>
          <w:i w:val="0"/>
        </w:rPr>
        <w:t xml:space="preserve"> is applying it once at scale </w:t>
      </w:r>
      <m:oMath>
        <m:sSup>
          <m:e>
            <m:r>
              <m:t>b</m:t>
            </m:r>
          </m:e>
          <m:sup>
            <m:r>
              <m:t>2</m:t>
            </m:r>
          </m:sup>
        </m:sSup>
      </m:oMath>
      <w:r>
        <w:rPr>
          <w:i w:val="0"/>
        </w:rPr>
        <w:t>, and that composition law is what forces power laws and gives the eigenvalues of the linearised map their meaning. The sign of such an eigenvalue can be computed before a single configuration exists. A trained encoder composes with nothing, carries no scale index and yields no eigenvalue.</w:t>
      </w:r>
    </w:p>
    <w:p>
      <w:r>
        <w:rPr>
          <w:i w:val="0"/>
        </w:rPr>
        <w:t xml:space="preserve">It is tempting, and wrong, to call a single Ising configuration the microscopic detail universality declares irrelevant. Irrelevance is a property of directions in the space of couplings, and a configuration is not a coupling. It carries, mixed together and unlabelled, both the relevant structure and the irrelevant remainder: its magnetisation is the mean of exactly the spin values one might call negligible, and its distant correlations carry </w:t>
      </w:r>
      <m:oMath>
        <m:r>
          <m:t>ξ</m:t>
        </m:r>
      </m:oMath>
      <w:r>
        <w:rPr>
          <w:i w:val="0"/>
        </w:rPr>
        <w:t>. Alongside those it holds an enormous excess, a microstate where only a macrostate is needed.</w:t>
      </w:r>
    </w:p>
    <w:p>
      <w:r>
        <w:rPr>
          <w:i w:val="0"/>
        </w:rPr>
        <w:t>Coarse-graining separates the two by a criterion available in advance, the sign of an eigenvalue of a linearised flow. A network that reports the temperature of a configuration must separate them too, with no notion of scale, no fixed point, and nothing computed before training begins. Whether the two separations coincide is a question with an answer, and the configurations the companion application generates are enough to ask it with. Behind it stands the question of what, in gradient descent over a finite sample, could play the part the eigenvalue plays here, and whether an agreement, if one turns up, would be a fact about the network or about the data.</w:t>
      </w:r>
    </w:p>
    <w:p>
      <w:pPr>
        <w:pStyle w:val="Heading1"/>
      </w:pPr>
      <w:r>
        <w:t>References</w:t>
      </w:r>
    </w:p>
    <w:p>
      <w:pPr>
        <w:spacing w:before="120" w:after="0"/>
        <w:ind w:firstLine="0"/>
      </w:pPr>
      <w:r>
        <w:rPr>
          <w:i w:val="0"/>
        </w:rPr>
        <w:t xml:space="preserve">Anderson (1972). More Is Different: Broken symmetry and the nature of the hierarchical structure of science. Science 177(4047), 393-396. </w:t>
      </w:r>
      <w:hyperlink r:id="rId63">
        <w:r>
          <w:rPr>
            <w:rStyle w:val="Hyperlink"/>
          </w:rPr>
          <w:t xml:space="preserve">https://doi.org/10.1126/science.177.4047.393</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w:t>
      </w:r>
      <w:hyperlink r:id="rId29">
        <w:r>
          <w:rPr>
            <w:rStyle w:val="Hyperlink"/>
          </w:rPr>
          <w:t xml:space="preserve">https://arxiv.org/abs/1612.03062</w:t>
        </w:r>
      </w:hyperlink>
      <w:r>
        <w:rPr>
          <w:i w:val="0"/>
        </w:rPr>
        <w:t xml:space="preserve"> (this locator is Tilman Sauer's translation and commentary, "A look back at the Ehrenfest classification," European Physical Journal Special Topics 226, 539-549 (2017), posted as a preprint in December 2016, and not Ehrenfest's original paper)</w:t>
      </w:r>
    </w:p>
    <w:p>
      <w:pPr>
        <w:spacing w:before="120" w:after="0"/>
        <w:ind w:firstLine="0"/>
      </w:pPr>
      <w:r>
        <w:rPr>
          <w:i w:val="0"/>
        </w:rPr>
        <w:t xml:space="preserve">El-Showk, Paulos, Poland, Rychkov, Simmons-Duffin, Vichi (2014). Solving the 3d Ising Model with the Conformal Bootstrap II. c-Minimization and Precise Critical Exponents. Journal of Statistical Physics 157, 869-914. </w:t>
      </w:r>
      <w:hyperlink r:id="rId64">
        <w:r>
          <w:rPr>
            <w:rStyle w:val="Hyperlink"/>
          </w:rPr>
          <w:t xml:space="preserve">https://doi.org/10.1007/s10955-014-1042-7</w:t>
        </w:r>
      </w:hyperlink>
    </w:p>
    <w:p>
      <w:pPr>
        <w:spacing w:before="120" w:after="0"/>
        <w:ind w:firstLine="0"/>
      </w:pPr>
      <w:r>
        <w:rPr>
          <w:i w:val="0"/>
        </w:rPr>
        <w:t xml:space="preserve">Essam, Fisher (1963). Pade Approximant Studies of the Lattice Gas and Ising Ferromagnet below the Critical Point. The Journal of Chemical Physics 38(4), 802-812. </w:t>
      </w:r>
      <w:hyperlink r:id="rId65">
        <w:r>
          <w:rPr>
            <w:rStyle w:val="Hyperlink"/>
          </w:rPr>
          <w:t xml:space="preserve">https://doi.org/10.1063/1.1733766</w:t>
        </w:r>
      </w:hyperlink>
    </w:p>
    <w:p>
      <w:pPr>
        <w:spacing w:before="120" w:after="0"/>
        <w:ind w:firstLine="0"/>
      </w:pPr>
      <w:r>
        <w:rPr>
          <w:i w:val="0"/>
        </w:rPr>
        <w:t xml:space="preserve">Fisher (1967). The theory of equilibrium critical phenomena. Reports on Progress in Physics 30(2), 615-730. </w:t>
      </w:r>
      <w:hyperlink r:id="rId66">
        <w:r>
          <w:rPr>
            <w:rStyle w:val="Hyperlink"/>
          </w:rPr>
          <w:t xml:space="preserve">https://doi.org/10.1088/0034-4885/30/2/306</w:t>
        </w:r>
      </w:hyperlink>
    </w:p>
    <w:p>
      <w:pPr>
        <w:spacing w:before="120" w:after="0"/>
        <w:ind w:firstLine="0"/>
      </w:pPr>
      <w:r>
        <w:rPr>
          <w:i w:val="0"/>
        </w:rPr>
        <w:t xml:space="preserve">Fisher (1974). The renormalization group in the theory of critical behavior. Reviews of Modern Physics 46(4), 597-616. </w:t>
      </w:r>
      <w:hyperlink r:id="rId50">
        <w:r>
          <w:rPr>
            <w:rStyle w:val="Hyperlink"/>
          </w:rPr>
          <w:t xml:space="preserve">https://doi.org/10.1103/RevModPhys.46.597</w:t>
        </w:r>
      </w:hyperlink>
    </w:p>
    <w:p>
      <w:pPr>
        <w:spacing w:before="120" w:after="0"/>
        <w:ind w:firstLine="0"/>
      </w:pPr>
      <w:r>
        <w:rPr>
          <w:i w:val="0"/>
        </w:rPr>
        <w:t xml:space="preserve">Ginzburg (1960). Some remarks on phase transitions of the second kind and the microscopic theory of ferroelectric materials. Fiz. Tverd. Tela 2, 2031 (1960) [Sov. Phys. Solid State 2, 1824 (1961)]. </w:t>
      </w:r>
      <w:hyperlink r:id="rId41">
        <w:r>
          <w:rPr>
            <w:rStyle w:val="Hyperlink"/>
          </w:rPr>
          <w:t xml:space="preserve">https://garfield.library.upenn.edu/histcomp/fisher-me_auth-citing/node/46.html</w:t>
        </w:r>
      </w:hyperlink>
      <w:r>
        <w:rPr>
          <w:i w:val="0"/>
        </w:rPr>
        <w:t xml:space="preserve"> (no DOI exists for either version, and this locator is a citation-index record of the translation)</w:t>
      </w:r>
    </w:p>
    <w:p>
      <w:pPr>
        <w:spacing w:before="120" w:after="0"/>
        <w:ind w:firstLine="0"/>
      </w:pPr>
      <w:r>
        <w:rPr>
          <w:i w:val="0"/>
        </w:rPr>
        <w:t xml:space="preserve">Griffiths (1965). Thermodynamic Inequality Near the Critical Point for Ferromagnets and Fluids. Physical Review Letters 14, 623-624. </w:t>
      </w:r>
      <w:hyperlink r:id="rId67">
        <w:r>
          <w:rPr>
            <w:rStyle w:val="Hyperlink"/>
          </w:rPr>
          <w:t xml:space="preserve">https://doi.org/10.1103/PhysRevLett.14.623</w:t>
        </w:r>
      </w:hyperlink>
    </w:p>
    <w:p>
      <w:pPr>
        <w:spacing w:before="120" w:after="0"/>
        <w:ind w:firstLine="0"/>
      </w:pPr>
      <w:r>
        <w:rPr>
          <w:i w:val="0"/>
        </w:rPr>
        <w:t xml:space="preserve">Guggenheim (1945). The Principle of Corresponding States. The Journal of Chemical Physics 13(7), 253-261. </w:t>
      </w:r>
      <w:hyperlink r:id="rId35">
        <w:r>
          <w:rPr>
            <w:rStyle w:val="Hyperlink"/>
          </w:rPr>
          <w:t xml:space="preserve">https://doi.org/10.1063/1.1724033</w:t>
        </w:r>
      </w:hyperlink>
    </w:p>
    <w:p>
      <w:pPr>
        <w:spacing w:before="120" w:after="0"/>
        <w:ind w:firstLine="0"/>
      </w:pPr>
      <w:r>
        <w:rPr>
          <w:i w:val="0"/>
        </w:rPr>
        <w:t xml:space="preserve">Hasenbusch (2010). Finite Size Scaling Study of Lattice Models in the Three-Dimensional Ising Universality Class. Physical Review B 82, 174433. </w:t>
      </w:r>
      <w:hyperlink r:id="rId68">
        <w:r>
          <w:rPr>
            <w:rStyle w:val="Hyperlink"/>
          </w:rPr>
          <w:t xml:space="preserve">https://arxiv.org/abs/1004.4486</w:t>
        </w:r>
      </w:hyperlink>
    </w:p>
    <w:p>
      <w:pPr>
        <w:spacing w:before="120" w:after="0"/>
        <w:ind w:firstLine="0"/>
      </w:pPr>
      <w:r>
        <w:rPr>
          <w:i w:val="0"/>
        </w:rPr>
        <w:t xml:space="preserve">Ising (1925). Beitrag zur Theorie des Ferromagnetismus. Zeitschrift fuer Physik 31, 253-258. </w:t>
      </w:r>
      <w:hyperlink r:id="rId32">
        <w:r>
          <w:rPr>
            <w:rStyle w:val="Hyperlink"/>
          </w:rPr>
          <w:t xml:space="preserve">https://doi.org/10.1007/BF02980577</w:t>
        </w:r>
      </w:hyperlink>
    </w:p>
    <w:p>
      <w:pPr>
        <w:spacing w:before="120" w:after="0"/>
        <w:ind w:firstLine="0"/>
      </w:pPr>
      <w:r>
        <w:rPr>
          <w:i w:val="0"/>
        </w:rPr>
        <w:t xml:space="preserve">Kadanoff (1966). Scaling laws for Ising models near T_c. Physics Physique Fizika 2(6), 263-272. </w:t>
      </w:r>
      <w:hyperlink r:id="rId45">
        <w:r>
          <w:rPr>
            <w:rStyle w:val="Hyperlink"/>
          </w:rPr>
          <w:t xml:space="preserve">https://doi.org/10.1103/PhysicsPhysiqueFizika.2.263</w:t>
        </w:r>
      </w:hyperlink>
    </w:p>
    <w:p>
      <w:pPr>
        <w:spacing w:before="120" w:after="0"/>
        <w:ind w:firstLine="0"/>
      </w:pPr>
      <w:r>
        <w:rPr>
          <w:i w:val="0"/>
        </w:rPr>
        <w:t xml:space="preserve">Landau (1937). K teorii fazovykh perekhodov. Zh. Eksp. Teor. Fiz. 7, 19-32 (1937); English translation in Collected Papers of L. D. Landau (Pergamon, 1965), pp. 193-216. </w:t>
      </w:r>
      <w:hyperlink r:id="rId31">
        <w:r>
          <w:rPr>
            <w:rStyle w:val="Hyperlink"/>
          </w:rPr>
          <w:t xml:space="preserve">https://doi.org/10.1016/B978-0-08-010586-4.50034-1</w:t>
        </w:r>
      </w:hyperlink>
    </w:p>
    <w:p>
      <w:pPr>
        <w:spacing w:before="120" w:after="0"/>
        <w:ind w:firstLine="0"/>
      </w:pPr>
      <w:r>
        <w:rPr>
          <w:i w:val="0"/>
        </w:rPr>
        <w:t xml:space="preserve">Lee, Yang (1952). Statistical Theory of Equations of State and Phase Transitions. II. Lattice Gas and Ising Model. Physical Review 87(3), 410-419 (issue of 1 August 1952). </w:t>
      </w:r>
      <w:hyperlink r:id="rId38">
        <w:r>
          <w:rPr>
            <w:rStyle w:val="Hyperlink"/>
          </w:rPr>
          <w:t xml:space="preserve">https://doi.org/10.1103/PhysRev.87.410</w:t>
        </w:r>
      </w:hyperlink>
    </w:p>
    <w:p>
      <w:pPr>
        <w:spacing w:before="120" w:after="0"/>
        <w:ind w:firstLine="0"/>
      </w:pPr>
      <w:r>
        <w:rPr>
          <w:i w:val="0"/>
        </w:rPr>
        <w:t xml:space="preserve">Levanyuk (1959). [No title is recorded in the source consulted.] Soviet Physics JETP 9(3), 571 [ZhETF 36(3), 810]. </w:t>
      </w:r>
      <w:hyperlink r:id="rId40">
        <w:r>
          <w:rPr>
            <w:rStyle w:val="Hyperlink"/>
          </w:rPr>
          <w:t xml:space="preserve">https://jetp.ras.ru/cgi-bin/e/index/e/9/3/p571?a=list</w:t>
        </w:r>
      </w:hyperlink>
      <w:r>
        <w:rPr>
          <w:i w:val="0"/>
        </w:rPr>
        <w:t xml:space="preserve"> (no DOI exists for either version)</w:t>
      </w:r>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Peierls (1936). On Ising's model of ferromagnetism. Mathematical Proceedings of the Cambridge Philosophical Society 32(3), 477-481. </w:t>
      </w:r>
      <w:hyperlink r:id="rId33">
        <w:r>
          <w:rPr>
            <w:rStyle w:val="Hyperlink"/>
          </w:rPr>
          <w:t xml:space="preserve">https://doi.org/10.1017/S0305004100019174</w:t>
        </w:r>
      </w:hyperlink>
    </w:p>
    <w:p>
      <w:pPr>
        <w:spacing w:before="120" w:after="0"/>
        <w:ind w:firstLine="0"/>
      </w:pPr>
      <w:r>
        <w:rPr>
          <w:i w:val="0"/>
        </w:rPr>
        <w:t xml:space="preserve">Royal Swedish Academy of Sciences (1982). The Nobel Prize in Physics 1982. Nobel Prize in Physics, Royal Swedish Academy of Sciences. </w:t>
      </w:r>
      <w:hyperlink r:id="rId69">
        <w:r>
          <w:rPr>
            <w:rStyle w:val="Hyperlink"/>
          </w:rPr>
          <w:t xml:space="preserve">https://www.nobelprize.org/prizes/physics/1982/summary/</w:t>
        </w:r>
      </w:hyperlink>
    </w:p>
    <w:p>
      <w:pPr>
        <w:spacing w:before="120" w:after="0"/>
        <w:ind w:firstLine="0"/>
      </w:pPr>
      <w:r>
        <w:rPr>
          <w:i w:val="0"/>
        </w:rPr>
        <w:t xml:space="preserve">Rushbrooke (1963). On the Thermodynamics of the Critical Region for the Ising Problem. The Journal of Chemical Physics 39(3), 842-843. </w:t>
      </w:r>
      <w:hyperlink r:id="rId42">
        <w:r>
          <w:rPr>
            <w:rStyle w:val="Hyperlink"/>
          </w:rPr>
          <w:t xml:space="preserve">https://doi.org/10.1063/1.1734338</w:t>
        </w:r>
      </w:hyperlink>
    </w:p>
    <w:p>
      <w:pPr>
        <w:spacing w:before="120" w:after="0"/>
        <w:ind w:firstLine="0"/>
      </w:pPr>
      <w:r>
        <w:rPr>
          <w:i w:val="0"/>
        </w:rPr>
        <w:t xml:space="preserve">Widom (1965). Equation of State in the Neighborhood of the Critical Point. The Journal of Chemical Physics 43(11), 3898-3905. </w:t>
      </w:r>
      <w:hyperlink r:id="rId44">
        <w:r>
          <w:rPr>
            <w:rStyle w:val="Hyperlink"/>
          </w:rPr>
          <w:t xml:space="preserve">https://doi.org/10.1063/1.1696618</w:t>
        </w:r>
      </w:hyperlink>
    </w:p>
    <w:p>
      <w:pPr>
        <w:spacing w:before="120" w:after="0"/>
        <w:ind w:firstLine="0"/>
      </w:pPr>
      <w:r>
        <w:rPr>
          <w:i w:val="0"/>
        </w:rPr>
        <w:t xml:space="preserve">Wilson (1971). Renormalization Group and Critical Phenomena. I. Renormalization Group and the Kadanoff Scaling Picture. Physical Review B 4(9), 3174-3183. </w:t>
      </w:r>
      <w:hyperlink r:id="rId47">
        <w:r>
          <w:rPr>
            <w:rStyle w:val="Hyperlink"/>
          </w:rPr>
          <w:t xml:space="preserve">https://doi.org/10.1103/PhysRevB.4.3174</w:t>
        </w:r>
      </w:hyperlink>
    </w:p>
    <w:p>
      <w:pPr>
        <w:spacing w:before="120" w:after="0"/>
        <w:ind w:firstLine="0"/>
      </w:pPr>
      <w:r>
        <w:rPr>
          <w:i w:val="0"/>
        </w:rPr>
        <w:t xml:space="preserve">Wilson (1971). Renormalization Group and Critical Phenomena. II. Phase-Space Cell Analysis of Critical Behavior. Physical Review B 4(9), 3184-3205. </w:t>
      </w:r>
      <w:hyperlink r:id="rId70">
        <w:r>
          <w:rPr>
            <w:rStyle w:val="Hyperlink"/>
          </w:rPr>
          <w:t xml:space="preserve">https://doi.org/10.1103/PhysRevB.4.3184</w:t>
        </w:r>
      </w:hyperlink>
    </w:p>
    <w:p>
      <w:pPr>
        <w:spacing w:before="120" w:after="0"/>
        <w:ind w:firstLine="0"/>
      </w:pPr>
      <w:r>
        <w:rPr>
          <w:i w:val="0"/>
        </w:rPr>
        <w:t xml:space="preserve">Wilson, Fisher (1972). Critical Exponents in 3.99 Dimensions. Physical Review Letters 28(4), 240-243. </w:t>
      </w:r>
      <w:hyperlink r:id="rId48">
        <w:r>
          <w:rPr>
            <w:rStyle w:val="Hyperlink"/>
          </w:rPr>
          <w:t xml:space="preserve">https://doi.org/10.1103/PhysRevLett.28.240</w:t>
        </w:r>
      </w:hyperlink>
    </w:p>
    <w:p>
      <w:pPr>
        <w:spacing w:before="120" w:after="0"/>
        <w:ind w:firstLine="0"/>
      </w:pPr>
      <w:r>
        <w:rPr>
          <w:i w:val="0"/>
        </w:rPr>
        <w:t xml:space="preserve">Yang (1952). The Spontaneous Magnetization of a Two-Dimensional Ising Model. Physical Review 85(5), 808-816. </w:t>
      </w:r>
      <w:hyperlink r:id="rId36">
        <w:r>
          <w:rPr>
            <w:rStyle w:val="Hyperlink"/>
          </w:rPr>
          <w:t xml:space="preserve">https://doi.org/10.1103/PhysRev.85.808</w:t>
        </w:r>
      </w:hyperlink>
    </w:p>
    <w:p>
      <w:pPr>
        <w:spacing w:before="120" w:after="0"/>
        <w:ind w:firstLine="0"/>
      </w:pPr>
      <w:r>
        <w:rPr>
          <w:i w:val="0"/>
        </w:rPr>
        <w:t xml:space="preserve">Yang, Lee (1952). Statistical Theory of Equations of State and Phase Transitions. I. Theory of Condensation. Physical Review 87(3), 404-409 (issue of 1 August 1952). </w:t>
      </w:r>
      <w:hyperlink r:id="rId37">
        <w:r>
          <w:rPr>
            <w:rStyle w:val="Hyperlink"/>
          </w:rPr>
          <w:t xml:space="preserve">https://doi.org/10.1103/PhysRev.87.404</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26/science.177.4047.393" TargetMode="External"/><Relationship Id="rId64" Type="http://schemas.openxmlformats.org/officeDocument/2006/relationships/hyperlink" Target="https://doi.org/10.1007/s10955-014-1042-7" TargetMode="External"/><Relationship Id="rId65" Type="http://schemas.openxmlformats.org/officeDocument/2006/relationships/hyperlink" Target="https://doi.org/10.1063/1.1733766" TargetMode="External"/><Relationship Id="rId66" Type="http://schemas.openxmlformats.org/officeDocument/2006/relationships/hyperlink" Target="https://doi.org/10.1088/0034-4885/30/2/306" TargetMode="External"/><Relationship Id="rId67" Type="http://schemas.openxmlformats.org/officeDocument/2006/relationships/hyperlink" Target="https://doi.org/10.1103/PhysRevLett.14.623" TargetMode="External"/><Relationship Id="rId68" Type="http://schemas.openxmlformats.org/officeDocument/2006/relationships/hyperlink" Target="https://arxiv.org/abs/1004.4486" TargetMode="External"/><Relationship Id="rId69" Type="http://schemas.openxmlformats.org/officeDocument/2006/relationships/hyperlink" Target="https://www.nobelprize.org/prizes/physics/1982/summary/" TargetMode="External"/><Relationship Id="rId70" Type="http://schemas.openxmlformats.org/officeDocument/2006/relationships/hyperlink" Target="https://doi.org/10.1103/PhysRevB.4.3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