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6</w:t>
      </w:r>
    </w:p>
    <w:p>
      <w:pPr>
        <w:pStyle w:val="Heading1"/>
      </w:pPr>
      <w:r>
        <w:t>Learning Without Being Told</w:t>
      </w:r>
    </w:p>
    <w:p>
      <w:r>
        <w:rPr>
          <w:i w:val="0"/>
        </w:rPr>
        <w:t xml:space="preserve">Take Monte Carlo configurations of the two-dimensional Ising model sampled across a temperature window that contains the critical point, and assert, with no evidence at all, that the transition sits at </w:t>
      </w:r>
      <m:oMath>
        <m:sSup>
          <m:e>
            <m:r>
              <m:t>T</m:t>
            </m:r>
          </m:e>
          <m:sup>
            <m:r>
              <m:t>′</m:t>
            </m:r>
          </m:sup>
        </m:sSup>
        <m:r>
          <m:t>/J=1.8</m:t>
        </m:r>
      </m:oMath>
      <w:r>
        <w:rPr>
          <w:i w:val="0"/>
        </w:rPr>
        <w:t xml:space="preserve">. Temperatures here are in units of the coupling, with </w:t>
      </w:r>
      <m:oMath>
        <m:sSub>
          <m:e>
            <m:r>
              <m:t>k</m:t>
            </m:r>
          </m:e>
          <m:sub>
            <m:r>
              <m:t>B</m:t>
            </m:r>
          </m:sub>
        </m:sSub>
        <m:r>
          <m:t>=1</m:t>
        </m:r>
      </m:oMath>
      <w:r>
        <w:rPr>
          <w:i w:val="0"/>
        </w:rPr>
        <w:t xml:space="preserve">. Label every configuration drawn below </w:t>
      </w:r>
      <m:oMath>
        <m:sSup>
          <m:e>
            <m:r>
              <m:t>T</m:t>
            </m:r>
          </m:e>
          <m:sup>
            <m:r>
              <m:t>′</m:t>
            </m:r>
          </m:sup>
        </m:sSup>
      </m:oMath>
      <w:r>
        <w:rPr>
          <w:i w:val="0"/>
        </w:rPr>
        <w:t xml:space="preserve"> as ordered and every one drawn above it as disordered. Every label below </w:t>
      </w:r>
      <m:oMath>
        <m:sSup>
          <m:e>
            <m:r>
              <m:t>T</m:t>
            </m:r>
          </m:e>
          <m:sup>
            <m:r>
              <m:t>′</m:t>
            </m:r>
          </m:sup>
        </m:sSup>
      </m:oMath>
      <w:r>
        <w:rPr>
          <w:i w:val="0"/>
        </w:rPr>
        <w:t xml:space="preserve"> is correct and every label above the true </w:t>
      </w:r>
      <m:oMath>
        <m:sSub>
          <m:e>
            <m:r>
              <m:t>T</m:t>
            </m:r>
          </m:e>
          <m:sub>
            <m:r>
              <m:t>c</m:t>
            </m:r>
          </m:sub>
        </m:sSub>
      </m:oMath>
      <w:r>
        <w:rPr>
          <w:i w:val="0"/>
        </w:rPr>
        <w:t xml:space="preserve"> is correct; only the band between </w:t>
      </w:r>
      <m:oMath>
        <m:sSup>
          <m:e>
            <m:r>
              <m:t>T</m:t>
            </m:r>
          </m:e>
          <m:sup>
            <m:r>
              <m:t>′</m:t>
            </m:r>
          </m:sup>
        </m:sSup>
      </m:oMath>
      <w:r>
        <w:rPr>
          <w:i w:val="0"/>
        </w:rPr>
        <w:t xml:space="preserve"> and </w:t>
      </w:r>
      <m:oMath>
        <m:sSub>
          <m:e>
            <m:r>
              <m:t>T</m:t>
            </m:r>
          </m:e>
          <m:sub>
            <m:r>
              <m:t>c</m:t>
            </m:r>
          </m:sub>
        </m:sSub>
      </m:oMath>
      <w:r>
        <w:rPr>
          <w:i w:val="0"/>
        </w:rPr>
        <w:t xml:space="preserve"> is wrong. Now train a fresh network on that corrupted labelling and ask one question of it: how well does it reproduce the labels it was handed?</w:t>
      </w:r>
    </w:p>
    <w:p>
      <w:r>
        <w:rPr>
          <w:i w:val="0"/>
        </w:rPr>
        <w:t xml:space="preserve">The answer is neither one nor zero, and the way it varies as the asserted boundary moves is the whole method. Evert P. L. van Nieuwenburg, Ye-Hua Liu and Sebastian D. Huber published the scheme in Nature Physics in 2017 under the name learning by confusion. It appeared in the same journal and year as the supervised result of Juan Carrasquilla and Roger G. Melko, whose Ising labels came from comparing each configuration's sampling temperature against the Onsager value </w:t>
      </w:r>
      <m:oMath>
        <m:sSub>
          <m:e>
            <m:r>
              <m:t>T</m:t>
            </m:r>
          </m:e>
          <m:sub>
            <m:r>
              <m:t>c</m:t>
            </m:r>
          </m:sub>
        </m:sSub>
        <m:r>
          <m:t>/J=2/</m:t>
        </m:r>
        <m:r>
          <m:rPr>
            <m:sty m:val="p"/>
          </m:rPr>
          <m:t>ln</m:t>
        </m:r>
        <m:r>
          <m:t>(1+</m:t>
        </m:r>
        <m:rad>
          <m:radPr>
            <m:degHide m:val="on"/>
          </m:radPr>
          <m:deg/>
          <m:e>
            <m:r>
              <m:t>2</m:t>
            </m:r>
          </m:e>
        </m:rad>
        <m:r>
          <m:t>)</m:t>
        </m:r>
      </m:oMath>
      <w:r>
        <w:rPr>
          <w:i w:val="0"/>
        </w:rPr>
        <w:t xml:space="preserve">. Carrasquilla and Melko never claimed to discover that number on the lattice they trained on; they estimated a critical temperature on an unseen one, feeding the square-lattice-trained network triangular-lattice configurations. The preprint quotes </w:t>
      </w:r>
      <m:oMath>
        <m:sSub>
          <m:e>
            <m:r>
              <m:t>T</m:t>
            </m:r>
          </m:e>
          <m:sub>
            <m:r>
              <m:t>c</m:t>
            </m:r>
          </m:sub>
        </m:sSub>
        <m:r>
          <m:t>/J=3.63581</m:t>
        </m:r>
      </m:oMath>
      <w:r>
        <w:rPr>
          <w:i w:val="0"/>
        </w:rPr>
        <w:t xml:space="preserve"> from a single system size against the exact </w:t>
      </w:r>
      <m:oMath>
        <m:r>
          <m:t>4/</m:t>
        </m:r>
        <m:r>
          <m:rPr>
            <m:sty m:val="p"/>
          </m:rPr>
          <m:t>ln</m:t>
        </m:r>
        <m:r>
          <m:t>3=3.640957</m:t>
        </m:r>
      </m:oMath>
      <w:r>
        <w:rPr>
          <w:i w:val="0"/>
        </w:rPr>
        <w:t xml:space="preserve">, and the published paper, which adds a finite-size-scaling analysis the preprint does not contain, quotes </w:t>
      </w:r>
      <m:oMath>
        <m:r>
          <m:t>3.65(1)</m:t>
        </m:r>
      </m:oMath>
      <w:r>
        <w:rPr>
          <w:i w:val="0"/>
        </w:rPr>
        <w:t xml:space="preserve">. The objection the confusion scheme answers is not that a method needs </w:t>
      </w:r>
      <m:oMath>
        <m:sSub>
          <m:e>
            <m:r>
              <m:t>T</m:t>
            </m:r>
          </m:e>
          <m:sub>
            <m:r>
              <m:t>c</m:t>
            </m:r>
          </m:sub>
        </m:sSub>
      </m:oMath>
      <w:r>
        <w:rPr>
          <w:i w:val="0"/>
        </w:rPr>
        <w:t xml:space="preserve"> in order to find </w:t>
      </w:r>
      <m:oMath>
        <m:sSub>
          <m:e>
            <m:r>
              <m:t>T</m:t>
            </m:r>
          </m:e>
          <m:sub>
            <m:r>
              <m:t>c</m:t>
            </m:r>
          </m:sub>
        </m:sSub>
      </m:oMath>
      <w:r>
        <w:rPr>
          <w:i w:val="0"/>
        </w:rPr>
        <w:t>. It is that supervision needs some system whose answer is already known, and the systems worth pointing a classifier at are the ones where none exists.</w:t>
      </w:r>
    </w:p>
    <w:p>
      <w:pPr>
        <w:pStyle w:val="BookSection"/>
      </w:pPr>
      <w:r>
        <w:t>The virtue of a wrong label</w:t>
      </w:r>
    </w:p>
    <w:p>
      <w:r>
        <w:rPr>
          <w:i w:val="0"/>
        </w:rPr>
        <w:t xml:space="preserve">Set the problem up abstractly, since the abstraction is what makes the method portable. Data are indexed by a tuning parameter running over an interval </w:t>
      </w:r>
      <m:oMath>
        <m:d>
          <m:dPr>
            <m:sepChr m:val=","/>
          </m:dPr>
          <m:e>
            <m:r>
              <m:t>a</m:t>
            </m:r>
          </m:e>
          <m:e>
            <m:r>
              <m:t>b</m:t>
            </m:r>
          </m:e>
        </m:d>
      </m:oMath>
      <w:r>
        <w:rPr>
          <w:i w:val="0"/>
        </w:rPr>
        <w:t xml:space="preserve">, and somewhere inside it lies a single unknown critical value </w:t>
      </w:r>
      <m:oMath>
        <m:r>
          <m:t>c</m:t>
        </m:r>
      </m:oMath>
      <w:r>
        <w:rPr>
          <w:i w:val="0"/>
        </w:rPr>
        <w:t xml:space="preserve">. Choose a trial value </w:t>
      </w:r>
      <m:oMath>
        <m:sSup>
          <m:e>
            <m:r>
              <m:t>c</m:t>
            </m:r>
          </m:e>
          <m:sup>
            <m:r>
              <m:t>′</m:t>
            </m:r>
          </m:sup>
        </m:sSup>
      </m:oMath>
      <w:r>
        <w:rPr>
          <w:i w:val="0"/>
        </w:rPr>
        <w:t xml:space="preserve">, label everything below it class zero and everything above class one, train a network </w:t>
      </w:r>
      <m:oMath>
        <m:sSub>
          <m:e>
            <m:r>
              <m:t>N</m:t>
            </m:r>
          </m:e>
          <m:sub>
            <m:sSup>
              <m:e>
                <m:r>
                  <m:t>c</m:t>
                </m:r>
              </m:e>
              <m:sup>
                <m:r>
                  <m:t>′</m:t>
                </m:r>
              </m:sup>
            </m:sSup>
          </m:sub>
        </m:sSub>
      </m:oMath>
      <w:r>
        <w:rPr>
          <w:i w:val="0"/>
        </w:rPr>
        <w:t xml:space="preserve"> from scratch on that labelling, and evaluate its total classification performance </w:t>
      </w:r>
      <m:oMath>
        <m:r>
          <m:t>P(</m:t>
        </m:r>
        <m:sSup>
          <m:e>
            <m:r>
              <m:t>c</m:t>
            </m:r>
          </m:e>
          <m:sup>
            <m:r>
              <m:t>′</m:t>
            </m:r>
          </m:sup>
        </m:sSup>
        <m:r>
          <m:t>)</m:t>
        </m:r>
      </m:oMath>
      <w:r>
        <w:rPr>
          <w:i w:val="0"/>
        </w:rPr>
        <w:t xml:space="preserve"> against the labels it was trained on. Repeat for every </w:t>
      </w:r>
      <m:oMath>
        <m:sSup>
          <m:e>
            <m:r>
              <m:t>c</m:t>
            </m:r>
          </m:e>
          <m:sup>
            <m:r>
              <m:t>′</m:t>
            </m:r>
          </m:sup>
        </m:sSup>
      </m:oMath>
      <w:r>
        <w:rPr>
          <w:i w:val="0"/>
        </w:rPr>
        <w:t>.</w:t>
      </w:r>
    </w:p>
    <w:p>
      <w:r>
        <w:rPr>
          <w:i w:val="0"/>
        </w:rPr>
        <w:t xml:space="preserve">Two points are fixed by construction. At </w:t>
      </w:r>
      <m:oMath>
        <m:sSup>
          <m:e>
            <m:r>
              <m:t>c</m:t>
            </m:r>
          </m:e>
          <m:sup>
            <m:r>
              <m:t>′</m:t>
            </m:r>
          </m:sup>
        </m:sSup>
        <m:r>
          <m:t>=a</m:t>
        </m:r>
      </m:oMath>
      <w:r>
        <w:rPr>
          <w:i w:val="0"/>
        </w:rPr>
        <w:t xml:space="preserve"> every sample carries the same label, the network emits that label for everything, and </w:t>
      </w:r>
      <m:oMath>
        <m:r>
          <m:t>P=1</m:t>
        </m:r>
      </m:oMath>
      <w:r>
        <w:rPr>
          <w:i w:val="0"/>
        </w:rPr>
        <w:t xml:space="preserve">; at </w:t>
      </w:r>
      <m:oMath>
        <m:sSup>
          <m:e>
            <m:r>
              <m:t>c</m:t>
            </m:r>
          </m:e>
          <m:sup>
            <m:r>
              <m:t>′</m:t>
            </m:r>
          </m:sup>
        </m:sSup>
        <m:r>
          <m:t>=b</m:t>
        </m:r>
      </m:oMath>
      <w:r>
        <w:rPr>
          <w:i w:val="0"/>
        </w:rPr>
        <w:t xml:space="preserve"> the same happens with the other label. In between, performance falls, and the fall can be counted under one idealizing assumption. Suppose configurations drawn anywhere inside a single phase are identically distributed, so the tuning parameter leaves no trace within a phase. Take the samples spread uniformly over </w:t>
      </w:r>
      <m:oMath>
        <m:d>
          <m:dPr>
            <m:sepChr m:val=","/>
          </m:dPr>
          <m:e>
            <m:r>
              <m:t>a</m:t>
            </m:r>
          </m:e>
          <m:e>
            <m:r>
              <m:t>b</m:t>
            </m:r>
          </m:e>
        </m:d>
      </m:oMath>
      <w:r>
        <w:rPr>
          <w:i w:val="0"/>
        </w:rPr>
        <w:t xml:space="preserve"> and </w:t>
      </w:r>
      <m:oMath>
        <m:sSup>
          <m:e>
            <m:r>
              <m:t>c</m:t>
            </m:r>
          </m:e>
          <m:sup>
            <m:r>
              <m:t>′</m:t>
            </m:r>
          </m:sup>
        </m:sSup>
      </m:oMath>
      <w:r>
        <w:rPr>
          <w:i w:val="0"/>
        </w:rPr>
        <w:t xml:space="preserve"> strictly between </w:t>
      </w:r>
      <m:oMath>
        <m:r>
          <m:t>a</m:t>
        </m:r>
      </m:oMath>
      <w:r>
        <w:rPr>
          <w:i w:val="0"/>
        </w:rPr>
        <w:t xml:space="preserve"> and </w:t>
      </w:r>
      <m:oMath>
        <m:r>
          <m:t>c</m:t>
        </m:r>
      </m:oMath>
      <w:r>
        <w:rPr>
          <w:i w:val="0"/>
        </w:rPr>
        <w:t xml:space="preserve">. Then no function of the configuration separates the samples below </w:t>
      </w:r>
      <m:oMath>
        <m:r>
          <m:t>c</m:t>
        </m:r>
      </m:oMath>
      <w:r>
        <w:rPr>
          <w:i w:val="0"/>
        </w:rPr>
        <w:t xml:space="preserve"> labelled zero from those labelled one, the best rule across that stretch is to emit one label for all of it, and errors are minimized by emitting the majority label. The stretch </w:t>
      </w:r>
      <m:oMath>
        <m:d>
          <m:dPr>
            <m:sepChr m:val=","/>
          </m:dPr>
          <m:e>
            <m:r>
              <m:t>a</m:t>
            </m:r>
          </m:e>
          <m:e>
            <m:r>
              <m:t>c</m:t>
            </m:r>
          </m:e>
        </m:d>
      </m:oMath>
      <w:r>
        <w:rPr>
          <w:i w:val="0"/>
        </w:rPr>
        <w:t xml:space="preserve"> carries label zero over a length </w:t>
      </w:r>
      <m:oMath>
        <m:sSup>
          <m:e>
            <m:r>
              <m:t>c</m:t>
            </m:r>
          </m:e>
          <m:sup>
            <m:r>
              <m:t>′</m:t>
            </m:r>
          </m:sup>
        </m:sSup>
        <m:r>
          <m:t>−a</m:t>
        </m:r>
      </m:oMath>
      <w:r>
        <w:rPr>
          <w:i w:val="0"/>
        </w:rPr>
        <w:t xml:space="preserve"> and label one over a length </w:t>
      </w:r>
      <m:oMath>
        <m:r>
          <m:t>c−</m:t>
        </m:r>
        <m:sSup>
          <m:e>
            <m:r>
              <m:t>c</m:t>
            </m:r>
          </m:e>
          <m:sup>
            <m:r>
              <m:t>′</m:t>
            </m:r>
          </m:sup>
        </m:sSup>
      </m:oMath>
      <w:r>
        <w:rPr>
          <w:i w:val="0"/>
        </w:rPr>
        <w:t xml:space="preserve">, and the minority is wrong. Above </w:t>
      </w:r>
      <m:oMath>
        <m:r>
          <m:t>c</m:t>
        </m:r>
      </m:oMath>
      <w:r>
        <w:rPr>
          <w:i w:val="0"/>
        </w:rPr>
        <w:t xml:space="preserve"> the labelling is consistent and costs nothing, so errors are </w:t>
      </w:r>
      <m:oMath>
        <m:r>
          <m:t>min(</m:t>
        </m:r>
        <m:sSup>
          <m:e>
            <m:r>
              <m:t>c</m:t>
            </m:r>
          </m:e>
          <m:sup>
            <m:r>
              <m:t>′</m:t>
            </m:r>
          </m:sup>
        </m:sSup>
        <m:r>
          <m:t>−a,</m:t>
        </m:r>
        <m:r>
          <m:t>c−</m:t>
        </m:r>
        <m:sSup>
          <m:e>
            <m:r>
              <m:t>c</m:t>
            </m:r>
          </m:e>
          <m:sup>
            <m:r>
              <m:t>′</m:t>
            </m:r>
          </m:sup>
        </m:sSup>
        <m:r>
          <m:t>)</m:t>
        </m:r>
      </m:oMath>
      <w:r>
        <w:rPr>
          <w:i w:val="0"/>
        </w:rPr>
        <w:t xml:space="preserve"> out of </w:t>
      </w:r>
      <m:oMath>
        <m:r>
          <m:t>b−a</m:t>
        </m:r>
      </m:oMath>
      <w:r>
        <w:rPr>
          <w:i w:val="0"/>
        </w:rPr>
        <w:t>:</w:t>
      </w:r>
    </w:p>
    <w:p>
      <w:pPr>
        <w:spacing w:before="200" w:after="200"/>
        <w:ind w:firstLine="0"/>
        <w:jc w:val="center"/>
        <w:contextualSpacing w:val="0"/>
      </w:pPr>
      <m:oMath>
        <m:r>
          <m:t>P(</m:t>
        </m:r>
        <m:sSup>
          <m:e>
            <m:r>
              <m:t>c</m:t>
            </m:r>
          </m:e>
          <m:sup>
            <m:r>
              <m:t>′</m:t>
            </m:r>
          </m:sup>
        </m:sSup>
        <m:r>
          <m:t>)=1−</m:t>
        </m:r>
        <m:f>
          <m:fPr>
            <m:type m:val="bar"/>
          </m:fPr>
          <m:num>
            <m:r>
              <m:t>min(</m:t>
            </m:r>
            <m:sSup>
              <m:e>
                <m:r>
                  <m:t>c</m:t>
                </m:r>
              </m:e>
              <m:sup>
                <m:r>
                  <m:t>′</m:t>
                </m:r>
              </m:sup>
            </m:sSup>
            <m:r>
              <m:t>−a,</m:t>
            </m:r>
            <m:r>
              <m:t>c−</m:t>
            </m:r>
            <m:sSup>
              <m:e>
                <m:r>
                  <m:t>c</m:t>
                </m:r>
              </m:e>
              <m:sup>
                <m:r>
                  <m:t>′</m:t>
                </m:r>
              </m:sup>
            </m:sSup>
            <m:r>
              <m:t>)</m:t>
            </m:r>
          </m:num>
          <m:den>
            <m:r>
              <m:t>b−a</m:t>
            </m:r>
          </m:den>
        </m:f>
        <m:r>
          <m:t>,</m:t>
        </m:r>
        <m:r>
          <m:t>a&lt;</m:t>
        </m:r>
        <m:sSup>
          <m:e>
            <m:r>
              <m:t>c</m:t>
            </m:r>
          </m:e>
          <m:sup>
            <m:r>
              <m:t>′</m:t>
            </m:r>
          </m:sup>
        </m:sSup>
        <m:r>
          <m:t>&lt;c,</m:t>
        </m:r>
      </m:oMath>
    </w:p>
    <w:p>
      <w:r>
        <w:rPr>
          <w:i w:val="0"/>
        </w:rPr>
        <w:t xml:space="preserve">and the mirrored count on the other side of </w:t>
      </w:r>
      <m:oMath>
        <m:r>
          <m:t>c</m:t>
        </m:r>
      </m:oMath>
      <w:r>
        <w:rPr>
          <w:i w:val="0"/>
        </w:rPr>
        <w:t xml:space="preserve"> replaces the numerator by </w:t>
      </w:r>
      <m:oMath>
        <m:r>
          <m:t>min(</m:t>
        </m:r>
        <m:sSup>
          <m:e>
            <m:r>
              <m:t>c</m:t>
            </m:r>
          </m:e>
          <m:sup>
            <m:r>
              <m:t>′</m:t>
            </m:r>
          </m:sup>
        </m:sSup>
        <m:r>
          <m:t>−c,</m:t>
        </m:r>
        <m:r>
          <m:t>b−</m:t>
        </m:r>
        <m:sSup>
          <m:e>
            <m:r>
              <m:t>c</m:t>
            </m:r>
          </m:e>
          <m:sup>
            <m:r>
              <m:t>′</m:t>
            </m:r>
          </m:sup>
        </m:sSup>
        <m:r>
          <m:t>)</m:t>
        </m:r>
      </m:oMath>
      <w:r>
        <w:rPr>
          <w:i w:val="0"/>
        </w:rPr>
        <w:t xml:space="preserve">. The published form normalizes by </w:t>
      </w:r>
      <m:oMath>
        <m:r>
          <m:t>c−a</m:t>
        </m:r>
      </m:oMath>
      <w:r>
        <w:rPr>
          <w:i w:val="0"/>
        </w:rPr>
        <w:t xml:space="preserve"> instead of </w:t>
      </w:r>
      <m:oMath>
        <m:r>
          <m:t>b−a</m:t>
        </m:r>
      </m:oMath>
      <w:r>
        <w:rPr>
          <w:i w:val="0"/>
        </w:rPr>
        <w:t xml:space="preserve">, which is the same error count taken over the frustrated stretch alone; normalizing by </w:t>
      </w:r>
      <m:oMath>
        <m:r>
          <m:t>b−a</m:t>
        </m:r>
      </m:oMath>
      <w:r>
        <w:rPr>
          <w:i w:val="0"/>
        </w:rPr>
        <w:t xml:space="preserve">, as here, evaluates </w:t>
      </w:r>
      <m:oMath>
        <m:r>
          <m:t>P</m:t>
        </m:r>
      </m:oMath>
      <w:r>
        <w:rPr>
          <w:i w:val="0"/>
        </w:rPr>
        <w:t xml:space="preserve"> on the entire data set and puts the two branches on one footing. The choice scales the depths and moves no feature. Each branch is a linear descent and recovery, the left minimum sitting at </w:t>
      </w:r>
      <m:oMath>
        <m:sSup>
          <m:e>
            <m:r>
              <m:t>c</m:t>
            </m:r>
          </m:e>
          <m:sup>
            <m:r>
              <m:t>′</m:t>
            </m:r>
          </m:sup>
        </m:sSup>
        <m:r>
          <m:t>=(a+c)/2</m:t>
        </m:r>
      </m:oMath>
      <w:r>
        <w:rPr>
          <w:i w:val="0"/>
        </w:rPr>
        <w:t xml:space="preserve"> where </w:t>
      </w:r>
      <m:oMath>
        <m:r>
          <m:t>P</m:t>
        </m:r>
      </m:oMath>
      <w:r>
        <w:rPr>
          <w:i w:val="0"/>
        </w:rPr>
        <w:t xml:space="preserve"> has fallen to </w:t>
      </w:r>
      <m:oMath>
        <m:r>
          <m:t>1−</m:t>
        </m:r>
        <m:f>
          <m:fPr>
            <m:type m:val="bar"/>
          </m:fPr>
          <m:num>
            <m:r>
              <m:t>c−a</m:t>
            </m:r>
          </m:num>
          <m:den>
            <m:r>
              <m:t>2(b−a)</m:t>
            </m:r>
          </m:den>
        </m:f>
      </m:oMath>
      <w:r>
        <w:rPr>
          <w:i w:val="0"/>
        </w:rPr>
        <w:t xml:space="preserve">, the right at </w:t>
      </w:r>
      <m:oMath>
        <m:sSup>
          <m:e>
            <m:r>
              <m:t>c</m:t>
            </m:r>
          </m:e>
          <m:sup>
            <m:r>
              <m:t>′</m:t>
            </m:r>
          </m:sup>
        </m:sSup>
        <m:r>
          <m:t>=(c+b)/2</m:t>
        </m:r>
      </m:oMath>
      <w:r>
        <w:rPr>
          <w:i w:val="0"/>
        </w:rPr>
        <w:t xml:space="preserve"> where it has fallen to </w:t>
      </w:r>
      <m:oMath>
        <m:r>
          <m:t>1−</m:t>
        </m:r>
        <m:f>
          <m:fPr>
            <m:type m:val="bar"/>
          </m:fPr>
          <m:num>
            <m:r>
              <m:t>b−c</m:t>
            </m:r>
          </m:num>
          <m:den>
            <m:r>
              <m:t>2(b−a)</m:t>
            </m:r>
          </m:den>
        </m:f>
      </m:oMath>
      <w:r>
        <w:rPr>
          <w:i w:val="0"/>
        </w:rPr>
        <w:t xml:space="preserve">. Across the interval the curve is a W, a central peak at the true transition with flanking minima where the mislabelling is worst. Where </w:t>
      </w:r>
      <m:oMath>
        <m:r>
          <m:t>c</m:t>
        </m:r>
      </m:oMath>
      <w:r>
        <w:rPr>
          <w:i w:val="0"/>
        </w:rPr>
        <w:t xml:space="preserve"> sits sets how far each minimum drops, the deeper one lying on the wider side; it does not move the peak.</w:t>
      </w:r>
    </w:p>
    <w:p>
      <w:r>
        <w:rPr>
          <w:i w:val="0"/>
        </w:rPr>
        <w:t xml:space="preserve">Now give the idealization back its error bars, because the counting rests entirely on it. Configurations drawn at </w:t>
      </w:r>
      <m:oMath>
        <m:r>
          <m:t>T/J=1.6</m:t>
        </m:r>
      </m:oMath>
      <w:r>
        <w:rPr>
          <w:i w:val="0"/>
        </w:rPr>
        <w:t xml:space="preserve"> and at </w:t>
      </w:r>
      <m:oMath>
        <m:r>
          <m:t>T/J=2.2</m:t>
        </m:r>
      </m:oMath>
      <w:r>
        <w:rPr>
          <w:i w:val="0"/>
        </w:rPr>
        <w:t xml:space="preserve"> are both ordered, and they are not identically distributed: magnetization magnitude, energy density and correlation length all differ, and a network trained on a labelling that cuts the ordered phase in two can exploit the difference. Emitting the majority label is one strategy available to it and not the best one. What bounds the network is the Bayes error of the two-class problem the mislabelling induces, which is at most the majority count and in practice less. The piecewise-linear W is the zero-Bayes-error idealization, a floor under the real curve, whose minima sit higher and whose corners are rounded.</w:t>
      </w:r>
    </w:p>
    <w:p>
      <w:r>
        <w:rPr>
          <w:i w:val="0"/>
        </w:rPr>
        <w:t xml:space="preserve">The same correction bites at the peak, downward. It is tempting to say that at </w:t>
      </w:r>
      <m:oMath>
        <m:sSup>
          <m:e>
            <m:r>
              <m:t>c</m:t>
            </m:r>
          </m:e>
          <m:sup>
            <m:r>
              <m:t>′</m:t>
            </m:r>
          </m:sup>
        </m:sSup>
        <m:r>
          <m:t>=c</m:t>
        </m:r>
      </m:oMath>
      <w:r>
        <w:rPr>
          <w:i w:val="0"/>
        </w:rPr>
        <w:t xml:space="preserve"> the labelling is the true one, the classes are genuinely distinguishable, and </w:t>
      </w:r>
      <m:oMath>
        <m:r>
          <m:t>P</m:t>
        </m:r>
      </m:oMath>
      <w:r>
        <w:rPr>
          <w:i w:val="0"/>
        </w:rPr>
        <w:t xml:space="preserve"> returns to one. It does not. Configurations sampled just below and just above a continuous thermal transition come from distributions that overlap almost completely on a finite lattice, and a configuration at </w:t>
      </w:r>
      <m:oMath>
        <m:sSub>
          <m:e>
            <m:r>
              <m:t>T</m:t>
            </m:r>
          </m:e>
          <m:sub>
            <m:r>
              <m:t>c</m:t>
            </m:r>
          </m:sub>
        </m:sSub>
        <m:r>
          <m:t>−δ</m:t>
        </m:r>
      </m:oMath>
      <w:r>
        <w:rPr>
          <w:i w:val="0"/>
        </w:rPr>
        <w:t xml:space="preserve"> is very often more typical of the far side than of its own. The Bayes error at the true labelling is strictly positive at finite size, no architecture removes it, and the central peak stands below unity for reasons that have nothing to do with the network. Growing the lattice raises it, because that is what separates the two distributions.</w:t>
      </w:r>
    </w:p>
    <w:p>
      <w:r>
        <w:rPr>
          <w:i w:val="0"/>
        </w:rPr>
        <w:t xml:space="preserve">That is the first of three conditions governing the curve, and the one most often misread. The second is capacity: the peak is capped by the Bayes error but attained only if the network can represent the separating function, so a shallow classifier on a system whose phases differ in a high-order correlation returns a V, which is what a system with no transition also returns. A short peak diagnoses overlap; a missing peak is ambiguous between an underpowered network and an absent boundary. The third is sampling: </w:t>
      </w:r>
      <m:oMath>
        <m:r>
          <m:t>P</m:t>
        </m:r>
      </m:oMath>
      <w:r>
        <w:rPr>
          <w:i w:val="0"/>
        </w:rPr>
        <w:t xml:space="preserve"> counts correctly reproduced labels and is weighted by how many samples sit on each side of </w:t>
      </w:r>
      <m:oMath>
        <m:sSup>
          <m:e>
            <m:r>
              <m:t>c</m:t>
            </m:r>
          </m:e>
          <m:sup>
            <m:r>
              <m:t>′</m:t>
            </m:r>
          </m:sup>
        </m:sSup>
      </m:oMath>
      <w:r>
        <w:rPr>
          <w:i w:val="0"/>
        </w:rPr>
        <w:t>, so with a non-uniform density the interval lengths become sample counts, and sampling more densely near the suspected boundary tilts the W without moving its peak.</w:t>
      </w:r>
    </w:p>
    <w:p>
      <w:r>
        <w:rPr>
          <w:i w:val="0"/>
        </w:rPr>
        <w:t xml:space="preserve">The control matters more than the result. Run the identical procedure on unstructured random data against a fictitious tuning parameter and the central peak disappears, leaving a V. Reading that control takes care, since a network with enough free parameters memorizes any labelling of a finite sample, random data included, and would return </w:t>
      </w:r>
      <m:oMath>
        <m:r>
          <m:t>P=1</m:t>
        </m:r>
      </m:oMath>
      <w:r>
        <w:rPr>
          <w:i w:val="0"/>
        </w:rPr>
        <w:t xml:space="preserve"> everywhere. The protocol evaluates performance on the data the network was trained on, which is safe only for networks small enough that reproducing the labels requires generalizing from them. What the W is about is out-of-sample performance, and the V says that no labelling of random data generalizes.</w:t>
      </w:r>
    </w:p>
    <w:p>
      <w:r>
        <w:rPr>
          <w:i w:val="0"/>
        </w:rPr>
        <w:t xml:space="preserve">Van Nieuwenburg, Liu and Huber demonstrated the scheme on three systems sharing no physics. The Kitaev chain, whose topological phase is bounded by </w:t>
      </w:r>
      <m:oMath>
        <m:r>
          <m:t>|μ|=2t</m:t>
        </m:r>
      </m:oMath>
      <w:r>
        <w:rPr>
          <w:i w:val="0"/>
        </w:rPr>
        <w:t xml:space="preserve"> and which has no local order parameter, was given the ten largest entanglement-spectrum eigenvalues for a chain of </w:t>
      </w:r>
      <m:oMath>
        <m:r>
          <m:t>L=20</m:t>
        </m:r>
      </m:oMath>
      <w:r>
        <w:rPr>
          <w:i w:val="0"/>
        </w:rPr>
        <w:t xml:space="preserve"> cut into halves, and the peak recovered </w:t>
      </w:r>
      <m:oMath>
        <m:r>
          <m:t>μ=−2t</m:t>
        </m:r>
      </m:oMath>
      <w:r>
        <w:rPr>
          <w:i w:val="0"/>
        </w:rPr>
        <w:t xml:space="preserve">. The classical two-dimensional Ising model, with </w:t>
      </w:r>
      <m:oMath>
        <m:sSup>
          <m:e>
            <m:r>
              <m:t>L</m:t>
            </m:r>
          </m:e>
          <m:sup>
            <m:r>
              <m:t>2</m:t>
            </m:r>
          </m:sup>
        </m:sSup>
      </m:oMath>
      <w:r>
        <w:rPr>
          <w:i w:val="0"/>
        </w:rPr>
        <w:t xml:space="preserve"> inputs, </w:t>
      </w:r>
      <m:oMath>
        <m:sSup>
          <m:e>
            <m:r>
              <m:t>L</m:t>
            </m:r>
          </m:e>
          <m:sup>
            <m:r>
              <m:t>2</m:t>
            </m:r>
          </m:sup>
        </m:sSup>
      </m:oMath>
      <w:r>
        <w:rPr>
          <w:i w:val="0"/>
        </w:rPr>
        <w:t xml:space="preserve"> hidden units and two outputs, gave a peak away from the exact answer at </w:t>
      </w:r>
      <m:oMath>
        <m:r>
          <m:t>L=10</m:t>
        </m:r>
      </m:oMath>
      <w:r>
        <w:rPr>
          <w:i w:val="0"/>
        </w:rPr>
        <w:t xml:space="preserve">, which is what finite-size effects are supposed to do, and a peak at </w:t>
      </w:r>
      <m:oMath>
        <m:sSub>
          <m:e>
            <m:r>
              <m:t>k</m:t>
            </m:r>
          </m:e>
          <m:sub>
            <m:r>
              <m:t>B</m:t>
            </m:r>
          </m:sub>
        </m:sSub>
        <m:sSub>
          <m:e>
            <m:r>
              <m:t>T</m:t>
            </m:r>
          </m:e>
          <m:sub>
            <m:r>
              <m:t>c</m:t>
            </m:r>
          </m:sub>
        </m:sSub>
        <m:r>
          <m:t>≈2.27J</m:t>
        </m:r>
      </m:oMath>
      <w:r>
        <w:rPr>
          <w:i w:val="0"/>
        </w:rPr>
        <w:t xml:space="preserve"> at </w:t>
      </w:r>
      <m:oMath>
        <m:r>
          <m:t>L=20</m:t>
        </m:r>
      </m:oMath>
      <w:r>
        <w:rPr>
          <w:i w:val="0"/>
        </w:rPr>
        <w:t xml:space="preserve">. Many-body localization in a random-field Heisenberg chain of twelve sites, with sixty-four entanglement-spectrum levels per eigenstate and </w:t>
      </w:r>
      <m:oMath>
        <m:sSup>
          <m:e>
            <m:r>
              <m:t>10</m:t>
            </m:r>
          </m:e>
          <m:sup>
            <m:r>
              <m:t>5</m:t>
            </m:r>
          </m:sup>
        </m:sSup>
      </m:oMath>
      <w:r>
        <w:rPr>
          <w:i w:val="0"/>
        </w:rPr>
        <w:t xml:space="preserve"> disorder realizations at each field strength, gave </w:t>
      </w:r>
      <m:oMath>
        <m:sSub>
          <m:e>
            <m:r>
              <m:t>h</m:t>
            </m:r>
          </m:e>
          <m:sub>
            <m:r>
              <m:t>c</m:t>
            </m:r>
          </m:sub>
        </m:sSub>
        <m:r>
          <m:t>≈3J</m:t>
        </m:r>
      </m:oMath>
      <w:r>
        <w:rPr>
          <w:i w:val="0"/>
        </w:rPr>
        <w:t>, a transition for which no order parameter is known.</w:t>
      </w:r>
    </w:p>
    <w:p>
      <w:r>
        <w:rPr>
          <w:i w:val="0"/>
        </w:rPr>
        <w:t xml:space="preserve">A companion test shows how much of the supervised protocol was ever load-bearing. Train a network on the Kitaev chain in the ordinary supervised way but blank out a window of the chemical-potential axis around the transition, so it never sees data near the boundary it is asked to find; with a blanked window up to </w:t>
      </w:r>
      <m:oMath>
        <m:r>
          <m:t>w=3t</m:t>
        </m:r>
      </m:oMath>
      <w:r>
        <w:rPr>
          <w:i w:val="0"/>
        </w:rPr>
        <w:t xml:space="preserve"> wide it still locates the transition. What the confusion scheme still needs is a human to run the sweep, and Ye-Hua Liu and van Nieuwenburg removed that in 2018 with discriminative cooperative networks: a guesser proposes labels for unlabelled data, a learner is trained on them, and the disagreement between the two is fed back to revise the guess. The pair converges on a labelling the learner can reproduce from the configurations alone, turning the confusion criterion into a search instead of a sweep.</w:t>
      </w:r>
    </w:p>
    <w:p>
      <w:pPr>
        <w:pStyle w:val="BookSection"/>
      </w:pPr>
      <w:r>
        <w:t>The linear baseline</w:t>
      </w:r>
    </w:p>
    <w:p>
      <w:r>
        <w:rPr>
          <w:i w:val="0"/>
        </w:rPr>
        <w:t xml:space="preserve">While the confusion machinery was being assembled, Lei Wang published a result in Physical Review B in 2016 that used no network at all. Collect one hundred uncorrelated square-lattice Ising configurations, generated with the Wolff cluster algorithm, at each of the temperatures </w:t>
      </w:r>
      <m:oMath>
        <m:r>
          <m:t>T/J=1.6,1.7,…,2.9</m:t>
        </m:r>
      </m:oMath>
      <w:r>
        <w:rPr>
          <w:i w:val="0"/>
        </w:rPr>
        <w:t xml:space="preserve">, giving a data matrix </w:t>
      </w:r>
      <m:oMath>
        <m:r>
          <m:t>X</m:t>
        </m:r>
      </m:oMath>
      <w:r>
        <w:rPr>
          <w:i w:val="0"/>
        </w:rPr>
        <w:t xml:space="preserve"> with </w:t>
      </w:r>
      <m:oMath>
        <m:r>
          <m:t>M=1400</m:t>
        </m:r>
      </m:oMath>
      <w:r>
        <w:rPr>
          <w:i w:val="0"/>
        </w:rPr>
        <w:t xml:space="preserve"> rows and </w:t>
      </w:r>
      <m:oMath>
        <m:r>
          <m:t>N</m:t>
        </m:r>
      </m:oMath>
      <w:r>
        <w:rPr>
          <w:i w:val="0"/>
        </w:rPr>
        <w:t xml:space="preserve"> spin columns, centre it, and solve the eigenproblem</w:t>
      </w:r>
    </w:p>
    <w:p>
      <w:pPr>
        <w:spacing w:before="200" w:after="200"/>
        <w:ind w:firstLine="0"/>
        <w:jc w:val="center"/>
        <w:contextualSpacing w:val="0"/>
      </w:pPr>
      <m:oMath>
        <m:sSup>
          <m:e>
            <m:r>
              <m:t>X</m:t>
            </m:r>
          </m:e>
          <m:sup>
            <m:r>
              <m:t>𝖳</m:t>
            </m:r>
          </m:sup>
        </m:sSup>
        <m:r>
          <m:t>X</m:t>
        </m:r>
        <m:sSub>
          <m:e>
            <m:r>
              <m:t>𝐰</m:t>
            </m:r>
          </m:e>
          <m:sub>
            <m:r>
              <m:t>ℓ</m:t>
            </m:r>
          </m:sub>
        </m:sSub>
        <m:r>
          <m:t>=</m:t>
        </m:r>
        <m:sSub>
          <m:e>
            <m:r>
              <m:t>λ</m:t>
            </m:r>
          </m:e>
          <m:sub>
            <m:r>
              <m:t>ℓ</m:t>
            </m:r>
          </m:sub>
        </m:sSub>
        <m:sSub>
          <m:e>
            <m:r>
              <m:t>𝐰</m:t>
            </m:r>
          </m:e>
          <m:sub>
            <m:r>
              <m:t>ℓ</m:t>
            </m:r>
          </m:sub>
        </m:sSub>
        <m:r>
          <m:t>.</m:t>
        </m:r>
      </m:oMath>
    </w:p>
    <w:p>
      <w:r>
        <w:rPr>
          <w:i w:val="0"/>
        </w:rPr>
        <w:t xml:space="preserve">This is principal component analysis, and it asks one question: which linear functional of the spins has the largest variance across the sample? Exactly one eigenvalue dominates the explained-variance ratio, and the weight vector of that leading component is flat across every lattice site. A flat weight vector applied to spins is the uniform magnetization </w:t>
      </w:r>
      <m:oMath>
        <m:r>
          <m:t>m=</m:t>
        </m:r>
        <m:sSup>
          <m:e>
            <m:r>
              <m:t>N</m:t>
            </m:r>
          </m:e>
          <m:sup>
            <m:r>
              <m:t>−1</m:t>
            </m:r>
          </m:sup>
        </m:sSup>
        <m:nary>
          <m:naryPr>
            <m:chr m:val="∑"/>
            <m:limLoc m:val="subSup"/>
            <m:grow m:val="1"/>
            <m:subHide m:val="off"/>
            <m:supHide m:val="on"/>
          </m:naryPr>
          <m:sub>
            <m:r>
              <m:t>i</m:t>
            </m:r>
          </m:sub>
          <m:sup/>
          <m:e>
            <m:sSub>
              <m:e>
                <m:r>
                  <m:t>σ</m:t>
                </m:r>
              </m:e>
              <m:sub>
                <m:r>
                  <m:t>i</m:t>
                </m:r>
              </m:sub>
            </m:sSub>
          </m:e>
        </m:nary>
      </m:oMath>
      <w:r>
        <w:rPr>
          <w:i w:val="0"/>
        </w:rPr>
        <w:t>.</w:t>
      </w:r>
    </w:p>
    <w:p>
      <w:r>
        <w:rPr>
          <w:i w:val="0"/>
        </w:rPr>
        <w:t xml:space="preserve">The eigenvalues are variances of projections onto unit-norm weight vectors, and that is the comparison to make. The unit-norm flat vector is </w:t>
      </w:r>
      <m:oMath>
        <m:sSub>
          <m:e>
            <m:r>
              <m:t>w</m:t>
            </m:r>
          </m:e>
          <m:sub>
            <m:r>
              <m:t>i</m:t>
            </m:r>
          </m:sub>
        </m:sSub>
        <m:r>
          <m:t>=</m:t>
        </m:r>
        <m:sSup>
          <m:e>
            <m:r>
              <m:t>N</m:t>
            </m:r>
          </m:e>
          <m:sup>
            <m:r>
              <m:t>−1/2</m:t>
            </m:r>
          </m:sup>
        </m:sSup>
      </m:oMath>
      <w:r>
        <w:rPr>
          <w:i w:val="0"/>
        </w:rPr>
        <w:t xml:space="preserve">, so the projection of a configuration onto it is </w:t>
      </w:r>
      <m:oMath>
        <m:rad>
          <m:radPr>
            <m:degHide m:val="on"/>
          </m:radPr>
          <m:deg/>
          <m:e>
            <m:r>
              <m:t>N</m:t>
            </m:r>
          </m:e>
        </m:rad>
        <m:r>
          <m:t>m</m:t>
        </m:r>
      </m:oMath>
      <w:r>
        <w:rPr>
          <w:i w:val="0"/>
        </w:rPr>
        <w:t xml:space="preserve">, while a unit-norm Fourier mode at wavevector </w:t>
      </w:r>
      <m:oMath>
        <m:r>
          <m:t>q</m:t>
        </m:r>
      </m:oMath>
      <w:r>
        <w:rPr>
          <w:i w:val="0"/>
        </w:rPr>
        <w:t xml:space="preserve"> gives a projection whose variance is the structure factor </w:t>
      </w:r>
      <m:oMath>
        <m:r>
          <m:t>S(q)</m:t>
        </m:r>
      </m:oMath>
      <w:r>
        <w:rPr>
          <w:i w:val="0"/>
        </w:rPr>
        <w:t xml:space="preserve">. At a single temperature above </w:t>
      </w:r>
      <m:oMath>
        <m:sSub>
          <m:e>
            <m:r>
              <m:t>T</m:t>
            </m:r>
          </m:e>
          <m:sub>
            <m:r>
              <m:t>c</m:t>
            </m:r>
          </m:sub>
        </m:sSub>
      </m:oMath>
      <w:r>
        <w:rPr>
          <w:i w:val="0"/>
        </w:rPr>
        <w:t xml:space="preserve"> the flat mode's variance is </w:t>
      </w:r>
      <m:oMath>
        <m:r>
          <m:t>S(0)=N⟨</m:t>
        </m:r>
        <m:sSup>
          <m:e>
            <m:r>
              <m:t>m</m:t>
            </m:r>
          </m:e>
          <m:sup>
            <m:r>
              <m:t>2</m:t>
            </m:r>
          </m:sup>
        </m:sSup>
        <m:r>
          <m:t>⟩=Tχ</m:t>
        </m:r>
      </m:oMath>
      <w:r>
        <w:rPr>
          <w:i w:val="0"/>
        </w:rPr>
        <w:t xml:space="preserve">, of the same order in </w:t>
      </w:r>
      <m:oMath>
        <m:r>
          <m:t>N</m:t>
        </m:r>
      </m:oMath>
      <w:r>
        <w:rPr>
          <w:i w:val="0"/>
        </w:rPr>
        <w:t xml:space="preserve"> as its competitors and larger only near </w:t>
      </w:r>
      <m:oMath>
        <m:sSub>
          <m:e>
            <m:r>
              <m:t>T</m:t>
            </m:r>
          </m:e>
          <m:sub>
            <m:r>
              <m:t>c</m:t>
            </m:r>
          </m:sub>
        </m:sSub>
      </m:oMath>
      <w:r>
        <w:rPr>
          <w:i w:val="0"/>
        </w:rPr>
        <w:t xml:space="preserve">, where the susceptibility diverges. What makes it win outright here is that the samples are pooled across the whole window and centred over the pool. The window reaches down to </w:t>
      </w:r>
      <m:oMath>
        <m:r>
          <m:t>T/J=1.6</m:t>
        </m:r>
      </m:oMath>
      <w:r>
        <w:rPr>
          <w:i w:val="0"/>
        </w:rPr>
        <w:t xml:space="preserve"> and so contains ordered configurations, for which </w:t>
      </w:r>
      <m:oMath>
        <m:r>
          <m:t>⟨</m:t>
        </m:r>
        <m:sSup>
          <m:e>
            <m:r>
              <m:t>m</m:t>
            </m:r>
          </m:e>
          <m:sup>
            <m:r>
              <m:t>2</m:t>
            </m:r>
          </m:sup>
        </m:sSup>
        <m:r>
          <m:t>⟩</m:t>
        </m:r>
      </m:oMath>
      <w:r>
        <w:rPr>
          <w:i w:val="0"/>
        </w:rPr>
        <w:t xml:space="preserve"> is of order one instead of order </w:t>
      </w:r>
      <m:oMath>
        <m:f>
          <m:fPr>
            <m:type m:val="lin"/>
          </m:fPr>
          <m:num>
            <m:r>
              <m:t>1</m:t>
            </m:r>
          </m:num>
          <m:den>
            <m:r>
              <m:t>N</m:t>
            </m:r>
          </m:den>
        </m:f>
      </m:oMath>
      <w:r>
        <w:rPr>
          <w:i w:val="0"/>
        </w:rPr>
        <w:t xml:space="preserve">, so the variance of </w:t>
      </w:r>
      <m:oMath>
        <m:rad>
          <m:radPr>
            <m:degHide m:val="on"/>
          </m:radPr>
          <m:deg/>
          <m:e>
            <m:r>
              <m:t>N</m:t>
            </m:r>
          </m:e>
        </m:rad>
        <m:r>
          <m:t>m</m:t>
        </m:r>
      </m:oMath>
      <w:r>
        <w:rPr>
          <w:i w:val="0"/>
        </w:rPr>
        <w:t xml:space="preserve"> across the pool is of order </w:t>
      </w:r>
      <m:oMath>
        <m:r>
          <m:t>N</m:t>
        </m:r>
      </m:oMath>
      <w:r>
        <w:rPr>
          <w:i w:val="0"/>
        </w:rPr>
        <w:t xml:space="preserve"> while </w:t>
      </w:r>
      <m:oMath>
        <m:r>
          <m:t>S(q≠0)</m:t>
        </m:r>
      </m:oMath>
      <w:r>
        <w:rPr>
          <w:i w:val="0"/>
        </w:rPr>
        <w:t xml:space="preserve"> stays of order one at every temperature in the window. The extensive factor comes from pooling across the transition; the susceptibility divergence sharpens the leading component near </w:t>
      </w:r>
      <m:oMath>
        <m:sSub>
          <m:e>
            <m:r>
              <m:t>T</m:t>
            </m:r>
          </m:e>
          <m:sub>
            <m:r>
              <m:t>c</m:t>
            </m:r>
          </m:sub>
        </m:sSub>
      </m:oMath>
      <w:r>
        <w:rPr>
          <w:i w:val="0"/>
        </w:rPr>
        <w:t xml:space="preserve"> but is not what puts it in front. In a model whose order parameter is the uniform mode, pooling across the ordering transition guarantees that the largest variance in the data set belongs to the order parameter. Nothing about criticality has been discovered. A second moment has been diagonalized, and the physics was in which moment turned out to be largest.</w:t>
      </w:r>
    </w:p>
    <w:p>
      <w:r>
        <w:rPr>
          <w:i w:val="0"/>
        </w:rPr>
        <w:t xml:space="preserve">Projecting onto the first two components separates the samples into three clusters, two ordered and one paramagnetic, which sharpen as the lattice grows through </w:t>
      </w:r>
      <m:oMath>
        <m:sSup>
          <m:e>
            <m:r>
              <m:t>20</m:t>
            </m:r>
          </m:e>
          <m:sup>
            <m:r>
              <m:t>2</m:t>
            </m:r>
          </m:sup>
        </m:sSup>
      </m:oMath>
      <w:r>
        <w:rPr>
          <w:i w:val="0"/>
        </w:rPr>
        <w:t xml:space="preserve">, </w:t>
      </w:r>
      <m:oMath>
        <m:sSup>
          <m:e>
            <m:r>
              <m:t>40</m:t>
            </m:r>
          </m:e>
          <m:sup>
            <m:r>
              <m:t>2</m:t>
            </m:r>
          </m:sup>
        </m:sSup>
      </m:oMath>
      <w:r>
        <w:rPr>
          <w:i w:val="0"/>
        </w:rPr>
        <w:t xml:space="preserve"> and </w:t>
      </w:r>
      <m:oMath>
        <m:sSup>
          <m:e>
            <m:r>
              <m:t>80</m:t>
            </m:r>
          </m:e>
          <m:sup>
            <m:r>
              <m:t>2</m:t>
            </m:r>
          </m:sup>
        </m:sSup>
      </m:oMath>
      <w:r>
        <w:rPr>
          <w:i w:val="0"/>
        </w:rPr>
        <w:t xml:space="preserve">. The separation is carried by the first component alone: the </w:t>
      </w:r>
      <m:oMath>
        <m:sSub>
          <m:e>
            <m:r>
              <m:t>Z</m:t>
            </m:r>
          </m:e>
          <m:sub>
            <m:r>
              <m:t>2</m:t>
            </m:r>
          </m:sub>
        </m:sSub>
      </m:oMath>
      <w:r>
        <w:rPr>
          <w:i w:val="0"/>
        </w:rPr>
        <w:t xml:space="preserve"> symmetry puts ordered samples into two populations at </w:t>
      </w:r>
      <m:oMath>
        <m:sSub>
          <m:e>
            <m:r>
              <m:t>y</m:t>
            </m:r>
          </m:e>
          <m:sub>
            <m:r>
              <m:t>1</m:t>
            </m:r>
          </m:sub>
        </m:sSub>
        <m:r>
          <m:t>≈±</m:t>
        </m:r>
        <m:rad>
          <m:radPr>
            <m:degHide m:val="on"/>
          </m:radPr>
          <m:deg/>
          <m:e>
            <m:r>
              <m:t>N</m:t>
            </m:r>
          </m:e>
        </m:rad>
        <m:r>
          <m:t>|m|</m:t>
        </m:r>
      </m:oMath>
      <w:r>
        <w:rPr>
          <w:i w:val="0"/>
        </w:rPr>
        <w:t xml:space="preserve"> and paramagnetic ones near </w:t>
      </w:r>
      <m:oMath>
        <m:sSub>
          <m:e>
            <m:r>
              <m:t>y</m:t>
            </m:r>
          </m:e>
          <m:sub>
            <m:r>
              <m:t>1</m:t>
            </m:r>
          </m:sub>
        </m:sSub>
        <m:r>
          <m:t>=0</m:t>
        </m:r>
      </m:oMath>
      <w:r>
        <w:rPr>
          <w:i w:val="0"/>
        </w:rPr>
        <w:t xml:space="preserve">, while the second component carries a small share of the variance and only spreads the clusters sideways. Since </w:t>
      </w:r>
      <m:oMath>
        <m:sSub>
          <m:e>
            <m:r>
              <m:t>y</m:t>
            </m:r>
          </m:e>
          <m:sub>
            <m:r>
              <m:t>1</m:t>
            </m:r>
          </m:sub>
        </m:sSub>
        <m:r>
          <m:t>=</m:t>
        </m:r>
        <m:rad>
          <m:radPr>
            <m:degHide m:val="on"/>
          </m:radPr>
          <m:deg/>
          <m:e>
            <m:r>
              <m:t>N</m:t>
            </m:r>
          </m:e>
        </m:rad>
        <m:r>
          <m:t>m</m:t>
        </m:r>
      </m:oMath>
      <w:r>
        <w:rPr>
          <w:i w:val="0"/>
        </w:rPr>
        <w:t xml:space="preserve"> exactly when the leading weight vector is flat, the distribution of </w:t>
      </w:r>
      <m:oMath>
        <m:sSub>
          <m:e>
            <m:r>
              <m:t>y</m:t>
            </m:r>
          </m:e>
          <m:sub>
            <m:r>
              <m:t>1</m:t>
            </m:r>
          </m:sub>
        </m:sSub>
      </m:oMath>
      <w:r>
        <w:rPr>
          <w:i w:val="0"/>
        </w:rPr>
        <w:t xml:space="preserve"> at each temperature is the distribution of the magnetization up to a known factor, and any conventional estimator built on it becomes available, the fourth-order Binder cumulant </w:t>
      </w:r>
      <m:oMath>
        <m:sSub>
          <m:e>
            <m:r>
              <m:t>U</m:t>
            </m:r>
          </m:e>
          <m:sub>
            <m:r>
              <m:t>L</m:t>
            </m:r>
          </m:sub>
        </m:sSub>
        <m:r>
          <m:t>=1−⟨</m:t>
        </m:r>
        <m:sSubSup>
          <m:e>
            <m:r>
              <m:t>y</m:t>
            </m:r>
          </m:e>
          <m:sub>
            <m:r>
              <m:t>1</m:t>
            </m:r>
          </m:sub>
          <m:sup>
            <m:r>
              <m:t>4</m:t>
            </m:r>
          </m:sup>
        </m:sSubSup>
        <m:r>
          <m:t>⟩/3⟨</m:t>
        </m:r>
        <m:sSubSup>
          <m:e>
            <m:r>
              <m:t>y</m:t>
            </m:r>
          </m:e>
          <m:sub>
            <m:r>
              <m:t>1</m:t>
            </m:r>
          </m:sub>
          <m:sup>
            <m:r>
              <m:t>2</m:t>
            </m:r>
          </m:sup>
        </m:sSubSup>
        <m:sSup>
          <m:e>
            <m:r>
              <m:t>⟩</m:t>
            </m:r>
          </m:e>
          <m:sup>
            <m:r>
              <m:t>2</m:t>
            </m:r>
          </m:sup>
        </m:sSup>
      </m:oMath>
      <w:r>
        <w:rPr>
          <w:i w:val="0"/>
        </w:rPr>
        <w:t xml:space="preserve"> among them, whose curves for different lattice sizes cross at criticality. That step is ordinary finite-size scaling, carried out by a person; the algorithm's contribution ended when it returned a flat eigenvector.</w:t>
      </w:r>
    </w:p>
    <w:p>
      <w:r>
        <w:rPr>
          <w:i w:val="0"/>
        </w:rPr>
        <w:t xml:space="preserve">Wang also treated the case where the uniform mode is unavailable by construction. In the conserved-order-parameter Ising model the total magnetization is identically zero, so the ferromagnet's leading component cannot exist. Four components lead instead, with weights proportional to </w:t>
      </w:r>
      <m:oMath>
        <m:r>
          <m:rPr>
            <m:sty m:val="p"/>
          </m:rPr>
          <m:t>cos</m:t>
        </m:r>
        <m:sSub>
          <m:e>
            <m:r>
              <m:t>θ</m:t>
            </m:r>
          </m:e>
          <m:sub>
            <m:r>
              <m:t>i</m:t>
            </m:r>
          </m:sub>
        </m:sSub>
      </m:oMath>
      <w:r>
        <w:rPr>
          <w:i w:val="0"/>
        </w:rPr>
        <w:t xml:space="preserve">, </w:t>
      </w:r>
      <m:oMath>
        <m:r>
          <m:rPr>
            <m:sty m:val="p"/>
          </m:rPr>
          <m:t>cos</m:t>
        </m:r>
        <m:sSub>
          <m:e>
            <m:r>
              <m:t>ϕ</m:t>
            </m:r>
          </m:e>
          <m:sub>
            <m:r>
              <m:t>i</m:t>
            </m:r>
          </m:sub>
        </m:sSub>
      </m:oMath>
      <w:r>
        <w:rPr>
          <w:i w:val="0"/>
        </w:rPr>
        <w:t xml:space="preserve">, </w:t>
      </w:r>
      <m:oMath>
        <m:r>
          <m:rPr>
            <m:sty m:val="p"/>
          </m:rPr>
          <m:t>sin</m:t>
        </m:r>
        <m:sSub>
          <m:e>
            <m:r>
              <m:t>θ</m:t>
            </m:r>
          </m:e>
          <m:sub>
            <m:r>
              <m:t>i</m:t>
            </m:r>
          </m:sub>
        </m:sSub>
      </m:oMath>
      <w:r>
        <w:rPr>
          <w:i w:val="0"/>
        </w:rPr>
        <w:t xml:space="preserve"> and </w:t>
      </w:r>
      <m:oMath>
        <m:r>
          <m:rPr>
            <m:sty m:val="p"/>
          </m:rPr>
          <m:t>sin</m:t>
        </m:r>
        <m:sSub>
          <m:e>
            <m:r>
              <m:t>ϕ</m:t>
            </m:r>
          </m:e>
          <m:sub>
            <m:r>
              <m:t>i</m:t>
            </m:r>
          </m:sub>
        </m:sSub>
      </m:oMath>
      <w:r>
        <w:rPr>
          <w:i w:val="0"/>
        </w:rPr>
        <w:t xml:space="preserve">, where a site at </w:t>
      </w:r>
      <m:oMath>
        <m:d>
          <m:dPr>
            <m:sepChr m:val=","/>
          </m:dPr>
          <m:e>
            <m:sSub>
              <m:e>
                <m:r>
                  <m:t>x</m:t>
                </m:r>
              </m:e>
              <m:sub>
                <m:r>
                  <m:t>i</m:t>
                </m:r>
              </m:sub>
            </m:sSub>
          </m:e>
          <m:e>
            <m:sSub>
              <m:e>
                <m:r>
                  <m:t>y</m:t>
                </m:r>
              </m:e>
              <m:sub>
                <m:r>
                  <m:t>i</m:t>
                </m:r>
              </m:sub>
            </m:sSub>
          </m:e>
        </m:d>
      </m:oMath>
      <w:r>
        <w:rPr>
          <w:i w:val="0"/>
        </w:rPr>
        <w:t xml:space="preserve"> on the </w:t>
      </w:r>
      <m:oMath>
        <m:r>
          <m:t>L×L</m:t>
        </m:r>
      </m:oMath>
      <w:r>
        <w:rPr>
          <w:i w:val="0"/>
        </w:rPr>
        <w:t xml:space="preserve"> lattice has </w:t>
      </w:r>
      <m:oMath>
        <m:sSub>
          <m:e>
            <m:r>
              <m:t>θ</m:t>
            </m:r>
          </m:e>
          <m:sub>
            <m:r>
              <m:t>i</m:t>
            </m:r>
          </m:sub>
        </m:sSub>
        <m:r>
          <m:t>=2π</m:t>
        </m:r>
        <m:sSub>
          <m:e>
            <m:r>
              <m:t>x</m:t>
            </m:r>
          </m:e>
          <m:sub>
            <m:r>
              <m:t>i</m:t>
            </m:r>
          </m:sub>
        </m:sSub>
        <m:r>
          <m:t>/L</m:t>
        </m:r>
      </m:oMath>
      <w:r>
        <w:rPr>
          <w:i w:val="0"/>
        </w:rPr>
        <w:t xml:space="preserve"> and </w:t>
      </w:r>
      <m:oMath>
        <m:sSub>
          <m:e>
            <m:r>
              <m:t>ϕ</m:t>
            </m:r>
          </m:e>
          <m:sub>
            <m:r>
              <m:t>i</m:t>
            </m:r>
          </m:sub>
        </m:sSub>
        <m:r>
          <m:t>=2π</m:t>
        </m:r>
        <m:sSub>
          <m:e>
            <m:r>
              <m:t>y</m:t>
            </m:r>
          </m:e>
          <m:sub>
            <m:r>
              <m:t>i</m:t>
            </m:r>
          </m:sub>
        </m:sSub>
        <m:r>
          <m:t>/L</m:t>
        </m:r>
      </m:oMath>
      <w:r>
        <w:rPr>
          <w:i w:val="0"/>
        </w:rPr>
        <w:t xml:space="preserve">. Those are the phases of the two longest-wavelength Fourier modes, one along each axis, so the four projections are the real and imaginary parts of </w:t>
      </w:r>
      <m:oMath>
        <m:limUpp>
          <m:e>
            <m:r>
              <m:t>σ</m:t>
            </m:r>
          </m:e>
          <m:lim>
            <m:r>
              <m:t>~</m:t>
            </m:r>
          </m:lim>
        </m:limUpp>
        <m:r>
          <m:t>(q)</m:t>
        </m:r>
      </m:oMath>
      <w:r>
        <w:rPr>
          <w:i w:val="0"/>
        </w:rPr>
        <w:t xml:space="preserve"> at </w:t>
      </w:r>
      <m:oMath>
        <m:r>
          <m:t>q=(2π/L,0)</m:t>
        </m:r>
      </m:oMath>
      <w:r>
        <w:rPr>
          <w:i w:val="0"/>
        </w:rPr>
        <w:t xml:space="preserve"> and </w:t>
      </w:r>
      <m:oMath>
        <m:r>
          <m:t>q=(0,2π/L)</m:t>
        </m:r>
      </m:oMath>
      <w:r>
        <w:rPr>
          <w:i w:val="0"/>
        </w:rPr>
        <w:t xml:space="preserve">, and the combination </w:t>
      </w:r>
      <m:oMath>
        <m:nary>
          <m:naryPr>
            <m:chr m:val="∑"/>
            <m:limLoc m:val="subSup"/>
            <m:grow m:val="1"/>
            <m:subHide m:val="off"/>
            <m:supHide m:val="off"/>
          </m:naryPr>
          <m:sub>
            <m:r>
              <m:t>ℓ=1</m:t>
            </m:r>
          </m:sub>
          <m:sup>
            <m:r>
              <m:t>4</m:t>
            </m:r>
          </m:sup>
          <m:e>
            <m:sSubSup>
              <m:e>
                <m:r>
                  <m:t>y</m:t>
                </m:r>
              </m:e>
              <m:sub>
                <m:r>
                  <m:t>ℓ</m:t>
                </m:r>
              </m:sub>
              <m:sup>
                <m:r>
                  <m:t>2</m:t>
                </m:r>
              </m:sup>
            </m:sSubSup>
          </m:e>
        </m:nary>
      </m:oMath>
      <w:r>
        <w:rPr>
          <w:i w:val="0"/>
        </w:rPr>
        <w:t xml:space="preserve"> is the sum of the structure factors there. Squaring and adding discards where a domain wall sits and keeps which axis it runs along, which is what makes the quantity report orientational order of domain walls. Wang states the combination was unknown to him before the analysis produced it. Note the exact shape of the claim: the algorithm returned four eigenvectors, and a physicist recognized what they encoded.</w:t>
      </w:r>
    </w:p>
    <w:p>
      <w:pPr>
        <w:pStyle w:val="BookSection"/>
      </w:pPr>
      <w:r>
        <w:t>When the coordinate is wrong</w:t>
      </w:r>
    </w:p>
    <w:p>
      <w:r>
        <w:rPr>
          <w:i w:val="0"/>
        </w:rPr>
        <w:t>Wang flagged the boundary of the technique in the same paper. Principal component analysis is linear, and topological order, duality, Wilson loops and string order are not linear functionals of a configuration; no amount of data will make them appear in an eigenvector of a covariance matrix.</w:t>
      </w:r>
    </w:p>
    <w:p>
      <w:r>
        <w:rPr>
          <w:i w:val="0"/>
        </w:rPr>
        <w:t xml:space="preserve">Wenjian Hu, Rajiv R. P. Singh and Richard T. Scalettar made the failure concrete, model by model, in Physical Review E in 2017. The successes are the expected ones: principal components map onto Fourier modes and order parameters, their size dependence yields critical exponents, and a crossover is distinguishable from a genuine transition. The instructive cases are the two where the method returns nothing. In a spin-one Ising model with biquadratic exchange, the raw </w:t>
      </w:r>
      <m:oMath>
        <m:sSub>
          <m:e>
            <m:r>
              <m:t>S</m:t>
            </m:r>
          </m:e>
          <m:sub>
            <m:r>
              <m:t>i</m:t>
            </m:r>
          </m:sub>
        </m:sSub>
      </m:oMath>
      <w:r>
        <w:rPr>
          <w:i w:val="0"/>
        </w:rPr>
        <w:t xml:space="preserve"> give no dominant component at all and a projection in which every temperature is mixed together, because the structure lives in the checkerboard arrangement of </w:t>
      </w:r>
      <m:oMath>
        <m:sSubSup>
          <m:e>
            <m:r>
              <m:t>S</m:t>
            </m:r>
          </m:e>
          <m:sub>
            <m:r>
              <m:t>i</m:t>
            </m:r>
          </m:sub>
          <m:sup>
            <m:r>
              <m:t>2</m:t>
            </m:r>
          </m:sup>
        </m:sSubSup>
      </m:oMath>
      <w:r>
        <w:rPr>
          <w:i w:val="0"/>
        </w:rPr>
        <w:t xml:space="preserve"> while the </w:t>
      </w:r>
      <m:oMath>
        <m:sSub>
          <m:e>
            <m:r>
              <m:t>S</m:t>
            </m:r>
          </m:e>
          <m:sub>
            <m:r>
              <m:t>i</m:t>
            </m:r>
          </m:sub>
        </m:sSub>
        <m:r>
          <m:t>=±1</m:t>
        </m:r>
      </m:oMath>
      <w:r>
        <w:rPr>
          <w:i w:val="0"/>
        </w:rPr>
        <w:t xml:space="preserve"> variables average away; feeding </w:t>
      </w:r>
      <m:oMath>
        <m:sSubSup>
          <m:e>
            <m:r>
              <m:t>S</m:t>
            </m:r>
          </m:e>
          <m:sub>
            <m:r>
              <m:t>i</m:t>
            </m:r>
          </m:sub>
          <m:sup>
            <m:r>
              <m:t>2</m:t>
            </m:r>
          </m:sup>
        </m:sSubSup>
      </m:oMath>
      <w:r>
        <w:rPr>
          <w:i w:val="0"/>
        </w:rPr>
        <w:t xml:space="preserve"> restores a dominant component. In the two-dimensional XY model, the local vorticity of each plaquette gives no dominant component either, because vortices and antivortices arrive in equal numbers and cancel; absolute vorticity recovers one, though the authors describe that signal as looking more like a crossover than a true transition and write that seeing the vortex unbinding transition may be difficult for principal component analysis or any machine-learning technique. One representation is not recoverable from the other, and nothing in the output announces which one was wrong.</w:t>
      </w:r>
    </w:p>
    <w:p>
      <w:pPr>
        <w:pStyle w:val="BookSection"/>
      </w:pPr>
      <w:r>
        <w:t>Bottlenecks</w:t>
      </w:r>
    </w:p>
    <w:p>
      <w:r>
        <w:rPr>
          <w:i w:val="0"/>
        </w:rPr>
        <w:t xml:space="preserve">Sebastian J. Wetzel carried the comparison into nonlinear methods in Physical Review E in 2017, using fifty thousand configurations of the two-dimensional Ising ferromagnet at </w:t>
      </w:r>
      <m:oMath>
        <m:r>
          <m:t>L=28</m:t>
        </m:r>
      </m:oMath>
      <w:r>
        <w:rPr>
          <w:i w:val="0"/>
        </w:rPr>
        <w:t xml:space="preserve"> across </w:t>
      </w:r>
      <m:oMath>
        <m:r>
          <m:t>T∈[0,5]</m:t>
        </m:r>
      </m:oMath>
      <w:r>
        <w:rPr>
          <w:i w:val="0"/>
        </w:rPr>
        <w:t xml:space="preserve">, ten thousand for the antiferromagnet, and the three-dimensional XY model at </w:t>
      </w:r>
      <m:oMath>
        <m:r>
          <m:t>L=14</m:t>
        </m:r>
      </m:oMath>
      <w:r>
        <w:rPr>
          <w:i w:val="0"/>
        </w:rPr>
        <w:t>, whose order parameter is a two-component vector and therefore a harder target for a scheme given one number. Four unsupervised methods were each restricted to a single latent variable so their outputs could be compared on equal terms: principal component analysis, kernel principal component analysis, a plain autoencoder, and a variational autoencoder with one fully connected hidden layer of 256 neurons in the encoder and another in the decoder.</w:t>
      </w:r>
    </w:p>
    <w:p>
      <w:r>
        <w:rPr>
          <w:i w:val="0"/>
        </w:rPr>
        <w:t xml:space="preserve">An autoencoder compresses a configuration through a narrow layer and reconstructs it; with linear activations and squared error the optimum is the leading principal subspace, by the Eckart-Young theorem, so it is a nonlinear generalization of what Wang did and not a different idea. The variational version adds a probabilistic encoder and a Kullback-Leibler divergence between the latent distribution and a prior, which regularizes the bottleneck and stops it from encoding sample identity. The latent variable of all four correlates cleanly with the magnetization, and the same holds for the known order parameter of the XY model: the learned coordinate is the order parameter. Principal component analysis was the most accurate, the variational autoencoder close behind, and the plain autoencoder inaccurate, which is Wetzel's stated reason for moving to the variational form. The encoder's first weight matrix alone holds </w:t>
      </w:r>
      <m:oMath>
        <m:r>
          <m:t>784×256</m:t>
        </m:r>
      </m:oMath>
      <w:r>
        <w:rPr>
          <w:i w:val="0"/>
        </w:rPr>
        <w:t xml:space="preserve"> entries, and on this problem a few hundred thousand parameters bought nothing over an eigenvector.</w:t>
      </w:r>
    </w:p>
    <w:p>
      <w:r>
        <w:rPr>
          <w:i w:val="0"/>
        </w:rPr>
        <w:t xml:space="preserve">The second result travels further. Averaging the mean-squared reconstruction loss over configurations at fixed temperature gives a curve that changes character at </w:t>
      </w:r>
      <m:oMath>
        <m:sSub>
          <m:e>
            <m:r>
              <m:t>T</m:t>
            </m:r>
          </m:e>
          <m:sub>
            <m:r>
              <m:t>c</m:t>
            </m:r>
          </m:sub>
        </m:sSub>
      </m:oMath>
      <w:r>
        <w:rPr>
          <w:i w:val="0"/>
        </w:rPr>
        <w:t xml:space="preserve">, and Wetzel proposes it as a general-purpose identifier of a transition requiring no order parameter. The mechanism follows from the bottleneck being a single number. If the latent tracks the magnetization, the decoder receives </w:t>
      </w:r>
      <m:oMath>
        <m:r>
          <m:t>m</m:t>
        </m:r>
      </m:oMath>
      <w:r>
        <w:rPr>
          <w:i w:val="0"/>
        </w:rPr>
        <w:t xml:space="preserve"> and nothing else, and the output minimizing squared error at site </w:t>
      </w:r>
      <m:oMath>
        <m:r>
          <m:t>i</m:t>
        </m:r>
      </m:oMath>
      <w:r>
        <w:rPr>
          <w:i w:val="0"/>
        </w:rPr>
        <w:t xml:space="preserve"> is the conditional mean </w:t>
      </w:r>
      <m:oMath>
        <m:r>
          <m:t>⟨</m:t>
        </m:r>
        <m:sSub>
          <m:e>
            <m:r>
              <m:t>σ</m:t>
            </m:r>
          </m:e>
          <m:sub>
            <m:r>
              <m:t>i</m:t>
            </m:r>
          </m:sub>
        </m:sSub>
        <m:r>
          <m:t>∣m⟩=m</m:t>
        </m:r>
      </m:oMath>
      <w:r>
        <w:rPr>
          <w:i w:val="0"/>
        </w:rPr>
        <w:t xml:space="preserve">. Since </w:t>
      </w:r>
      <m:oMath>
        <m:sSubSup>
          <m:e>
            <m:r>
              <m:t>σ</m:t>
            </m:r>
          </m:e>
          <m:sub>
            <m:r>
              <m:t>i</m:t>
            </m:r>
          </m:sub>
          <m:sup>
            <m:r>
              <m:t>2</m:t>
            </m:r>
          </m:sup>
        </m:sSubSup>
        <m:r>
          <m:t>=1</m:t>
        </m:r>
      </m:oMath>
      <w:r>
        <w:rPr>
          <w:i w:val="0"/>
        </w:rPr>
        <w:t xml:space="preserve">, the per-spin error is </w:t>
      </w:r>
      <m:oMath>
        <m:r>
          <m:t>1−</m:t>
        </m:r>
        <m:sSup>
          <m:e>
            <m:r>
              <m:t>m</m:t>
            </m:r>
          </m:e>
          <m:sup>
            <m:r>
              <m:t>2</m:t>
            </m:r>
          </m:sup>
        </m:sSup>
      </m:oMath>
      <w:r>
        <w:rPr>
          <w:i w:val="0"/>
        </w:rPr>
        <w:t xml:space="preserve">, and the loss curve is </w:t>
      </w:r>
      <m:oMath>
        <m:r>
          <m:t>1−⟨</m:t>
        </m:r>
        <m:sSup>
          <m:e>
            <m:r>
              <m:t>m</m:t>
            </m:r>
          </m:e>
          <m:sup>
            <m:r>
              <m:t>2</m:t>
            </m:r>
          </m:sup>
        </m:sSup>
        <m:sSub>
          <m:e>
            <m:r>
              <m:t>⟩</m:t>
            </m:r>
          </m:e>
          <m:sub>
            <m:r>
              <m:t>T</m:t>
            </m:r>
          </m:sub>
        </m:sSub>
      </m:oMath>
      <w:r>
        <w:rPr>
          <w:i w:val="0"/>
        </w:rPr>
        <w:t xml:space="preserve"> plus whatever residual the encoder fails to achieve. Above </w:t>
      </w:r>
      <m:oMath>
        <m:sSub>
          <m:e>
            <m:r>
              <m:t>T</m:t>
            </m:r>
          </m:e>
          <m:sub>
            <m:r>
              <m:t>c</m:t>
            </m:r>
          </m:sub>
        </m:sSub>
      </m:oMath>
      <w:r>
        <w:rPr>
          <w:i w:val="0"/>
        </w:rPr>
        <w:t xml:space="preserve">, </w:t>
      </w:r>
      <m:oMath>
        <m:r>
          <m:t>⟨</m:t>
        </m:r>
        <m:sSup>
          <m:e>
            <m:r>
              <m:t>m</m:t>
            </m:r>
          </m:e>
          <m:sup>
            <m:r>
              <m:t>2</m:t>
            </m:r>
          </m:sup>
        </m:sSup>
        <m:r>
          <m:t>⟩</m:t>
        </m:r>
      </m:oMath>
      <w:r>
        <w:rPr>
          <w:i w:val="0"/>
        </w:rPr>
        <w:t xml:space="preserve"> is of order </w:t>
      </w:r>
      <m:oMath>
        <m:f>
          <m:fPr>
            <m:type m:val="lin"/>
          </m:fPr>
          <m:num>
            <m:r>
              <m:t>1</m:t>
            </m:r>
          </m:num>
          <m:den>
            <m:r>
              <m:t>N</m:t>
            </m:r>
          </m:den>
        </m:f>
      </m:oMath>
      <w:r>
        <w:rPr>
          <w:i w:val="0"/>
        </w:rPr>
        <w:t xml:space="preserve"> and the loss sits at its saturated value; below </w:t>
      </w:r>
      <m:oMath>
        <m:sSub>
          <m:e>
            <m:r>
              <m:t>T</m:t>
            </m:r>
          </m:e>
          <m:sub>
            <m:r>
              <m:t>c</m:t>
            </m:r>
          </m:sub>
        </m:sSub>
      </m:oMath>
      <w:r>
        <w:rPr>
          <w:i w:val="0"/>
        </w:rPr>
        <w:t xml:space="preserve"> it falls as the order parameter turns on. One latent number does not determine a configuration below the transition, since an Ising microstate at any nonzero temperature carries extensive residual entropy that one number cannot represent, and the loss reaches zero only as </w:t>
      </w:r>
      <m:oMath>
        <m:r>
          <m:t>T→0</m:t>
        </m:r>
      </m:oMath>
      <w:r>
        <w:rPr>
          <w:i w:val="0"/>
        </w:rPr>
        <w:t>. What makes the curve a general indicator is that the argument never needs the order parameter by name. It needs only that whatever the latent variable tracks changes its distribution where the phases change.</w:t>
      </w:r>
    </w:p>
    <w:p>
      <w:pPr>
        <w:pStyle w:val="BookSection"/>
      </w:pPr>
      <w:r>
        <w:t>When linear projection is not enough</w:t>
      </w:r>
    </w:p>
    <w:p>
      <w:r>
        <w:rPr>
          <w:i w:val="0"/>
        </w:rPr>
        <w:t xml:space="preserve">None of that touches a phase distinguished by a topological invariant. Joaquin F. Rodriguez-Nieva and Mathias S. Scheurer addressed that case in Nature Physics in 2019 with diffusion maps, applied to bare spin configurations with no feature engineering and no labels. Given samples </w:t>
      </w:r>
      <m:oMath>
        <m:sSub>
          <m:e>
            <m:r>
              <m:t>x</m:t>
            </m:r>
          </m:e>
          <m:sub>
            <m:r>
              <m:t>i</m:t>
            </m:r>
          </m:sub>
        </m:sSub>
      </m:oMath>
      <w:r>
        <w:rPr>
          <w:i w:val="0"/>
        </w:rPr>
        <w:t xml:space="preserve">, build a kernel matrix </w:t>
      </w:r>
      <m:oMath>
        <m:sSub>
          <m:e>
            <m:r>
              <m:t>K</m:t>
            </m:r>
          </m:e>
          <m:sub>
            <m:r>
              <m:t>ij</m:t>
            </m:r>
          </m:sub>
        </m:sSub>
        <m:r>
          <m:t>=</m:t>
        </m:r>
        <m:r>
          <m:rPr>
            <m:sty m:val="p"/>
          </m:rPr>
          <m:t>exp</m:t>
        </m:r>
        <m:d>
          <m:dPr>
            <m:sepChr m:val=""/>
          </m:dPr>
          <m:e>
            <m:r>
              <m:t>−</m:t>
            </m:r>
            <m:r>
              <m:t>‖</m:t>
            </m:r>
            <m:sSub>
              <m:e>
                <m:r>
                  <m:t>x</m:t>
                </m:r>
              </m:e>
              <m:sub>
                <m:r>
                  <m:t>i</m:t>
                </m:r>
              </m:sub>
            </m:sSub>
            <m:r>
              <m:t>−</m:t>
            </m:r>
            <m:sSub>
              <m:e>
                <m:r>
                  <m:t>x</m:t>
                </m:r>
              </m:e>
              <m:sub>
                <m:r>
                  <m:t>j</m:t>
                </m:r>
              </m:sub>
            </m:sSub>
            <m:sSup>
              <m:e>
                <m:r>
                  <m:t>‖</m:t>
                </m:r>
              </m:e>
              <m:sup>
                <m:r>
                  <m:t>2</m:t>
                </m:r>
              </m:sup>
            </m:sSup>
            <m:r>
              <m:t>/</m:t>
            </m:r>
            <m:r>
              <m:t>2</m:t>
            </m:r>
            <m:r>
              <m:t>ε</m:t>
            </m:r>
          </m:e>
        </m:d>
      </m:oMath>
      <w:r>
        <w:rPr>
          <w:i w:val="0"/>
        </w:rPr>
        <w:t>, normalize each row so the result is a Markov transition matrix on the sample set, and take its leading eigenvectors as coordinates. Euclidean distance in those coordinates is the diffusion distance: two configurations are close if many short paths through other configurations connect them, far if the walk must leave the data manifold to pass between them.</w:t>
      </w:r>
    </w:p>
    <w:p>
      <w:r>
        <w:rPr>
          <w:i w:val="0"/>
        </w:rPr>
        <w:t>That is the right notion for a topological label. The winding number of an XY configuration is not a linear functional of the spins, so it cannot be a principal component. At low temperature, where vortices are bound in pairs, deforming one winding sector into another requires configurations with unbound vortices that the sampler almost never produces, so the walk cannot pass between sectors and the diffusion distance is large. That separation is not permanent, and its loss is the signal: above the Berezinskii-Kosterlitz-Thouless temperature free vortices proliferate, the intervening configurations become common, and the sectors merge. Rodriguez-Nieva and Scheurer found that samples of the two-dimensional XY model cluster by winding number under this metric, that the clustering captures the transition, and that the same procedure applied to the Ising gauge theory detects its topological order. The feature engineering earlier work needed here is replaced by a choice of metric.</w:t>
      </w:r>
    </w:p>
    <w:p>
      <w:pPr>
        <w:pStyle w:val="BookSection"/>
      </w:pPr>
      <w:r>
        <w:t>Phases nobody labelled</w:t>
      </w:r>
    </w:p>
    <w:p>
      <w:r>
        <w:rPr>
          <w:i w:val="0"/>
        </w:rPr>
        <w:t xml:space="preserve">Every method so far presumes a range in which a boundary lies and sweeps or projects across it. The confusion scheme is the most explicit about it: the anchors and the two branches all assume a single unknown </w:t>
      </w:r>
      <m:oMath>
        <m:r>
          <m:t>c</m:t>
        </m:r>
      </m:oMath>
      <w:r>
        <w:rPr>
          <w:i w:val="0"/>
        </w:rPr>
        <w:t xml:space="preserve"> inside </w:t>
      </w:r>
      <m:oMath>
        <m:d>
          <m:dPr>
            <m:sepChr m:val=","/>
          </m:dPr>
          <m:e>
            <m:r>
              <m:t>a</m:t>
            </m:r>
          </m:e>
          <m:e>
            <m:r>
              <m:t>b</m:t>
            </m:r>
          </m:e>
        </m:d>
      </m:oMath>
      <w:r>
        <w:rPr>
          <w:i w:val="0"/>
        </w:rPr>
        <w:t>, and with a second transition in the window the count has to be redone and the W is no longer a W. Korbinian Kottmann, Patrick Huembeli, Maciej Lewenstein and Antonio Acín dropped that presumption in Physical Review Letters in 2020 by reframing the problem as deep anomaly detection: train a network to represent data from one region of parameter space known or assumed to be a single phase, evaluate it everywhere else, and treat regions where it fails as candidates for something new.</w:t>
      </w:r>
    </w:p>
    <w:p>
      <w:r>
        <w:rPr>
          <w:i w:val="0"/>
        </w:rPr>
        <w:t>The mechanism is the reconstruction loss again, used as a decision rule instead of as a curve to inspect. A model fitted to one region has learned the statistical regularities of that region, and its error on a sample from elsewhere measures how badly they transfer. Two things follow. The method inherits the asymmetry of its training region, so what it returns is a map of distance from one chosen reference phase. And it cannot distinguish a genuinely new phase from a region where the data are merely noisier, which is why the choice of input representation carries so much of the weight. Kottmann and colleagues mapped the phase diagram of the one-dimensional extended Bose-Hubbard model at integer filling this way, using entanglement spectra, the central tensors of a tensor-network representation, and low-order correlation functions of the kind an experiment can measure. The last of these makes the method usable on data instead of on simulation output, a step already taken on the supervised side by Benno S. Rem, Niklas Käming, Matthias Tarnowski, Luca Asteria, Nick Fläschner, Christoph Becker, Klaus Sengstock and Christof Weitenberg, whose networks in 2019 took single-shot momentum-space density images from ultracold-atom experiments and mapped the topological phase diagram of the Haldane model. The raw configurations were laboratory images.</w:t>
      </w:r>
    </w:p>
    <w:p>
      <w:pPr>
        <w:pStyle w:val="BookSection"/>
      </w:pPr>
      <w:r>
        <w:t>What the machine converged to</w:t>
      </w:r>
    </w:p>
    <w:p>
      <w:r>
        <w:rPr>
          <w:i w:val="0"/>
        </w:rPr>
        <w:t xml:space="preserve">Julian Arnold and Frank Schäfer, in Physical Review X in 2022, derived the optimal analytical predictors that several of these schemes converge to in the limit of infinite model capacity, the supervised classification protocol and learning by confusion among them. In each case the optimum is a closed-form expression in the underlying data distributions </w:t>
      </w:r>
      <m:oMath>
        <m:r>
          <m:t>p(x∣</m:t>
        </m:r>
        <m:r>
          <m:rPr>
            <m:nor/>
          </m:rPr>
          <m:t>tuning parameter</m:t>
        </m:r>
        <m:r>
          <m:t>)</m:t>
        </m:r>
      </m:oMath>
      <w:r>
        <w:rPr>
          <w:i w:val="0"/>
        </w:rPr>
        <w:t>, so for many benchmark systems the network can be deleted and the expression evaluated directly, which is faster and which was validated on topological, quantum and many-body-localization transitions.</w:t>
      </w:r>
    </w:p>
    <w:p>
      <w:r>
        <w:rPr>
          <w:i w:val="0"/>
        </w:rPr>
        <w:t>That is what makes the earlier caveat exact instead of a hedge. If the ideal output is a functional of the whole family of distributions, then what any of these methods can achieve is fixed by how much those distributions overlap, which is why the confusion peak falls short of one and why growing the lattice raises it. The distribution changes fastest where the phases change, and the flat eigenvector, the reconstruction loss and the W are three ways of detecting that it has moved.</w:t>
      </w:r>
    </w:p>
    <w:p>
      <w:r>
        <w:rPr>
          <w:i w:val="0"/>
        </w:rPr>
        <w:t xml:space="preserve">Detecting that it moved is a weaker thing than saying what moved. Wang's four eigenvectors encoded a structure factor, but they would have come out identical had nobody in the field known what a structure factor was; the recognition happened in a person. A confusion peak at </w:t>
      </w:r>
      <m:oMath>
        <m:sSub>
          <m:e>
            <m:r>
              <m:t>h</m:t>
            </m:r>
          </m:e>
          <m:sub>
            <m:r>
              <m:t>c</m:t>
            </m:r>
          </m:sub>
        </m:sSub>
        <m:r>
          <m:t>≈3J</m:t>
        </m:r>
      </m:oMath>
      <w:r>
        <w:rPr>
          <w:i w:val="0"/>
        </w:rPr>
        <w:t xml:space="preserve"> in a disordered spin chain reports a location without naming the quantity that distinguishes the two sides, and for many-body localization there is no agreed candidate to compare it against.</w:t>
      </w:r>
    </w:p>
    <w:p>
      <w:r>
        <w:rPr>
          <w:i w:val="0"/>
        </w:rPr>
        <w:t xml:space="preserve">Which raises the question of what a network reads when it does succeed. Philippe Suchsland and Stefan Wessel observed that the low-temperature configurations Carrasquilla and Melko trained on were Wolff cluster samples, strongly polarized and containing no extended domain walls, and that this is what makes the magnetization reading hold. Include a significant fraction of configurations that do contain extended domain walls, as local spin updates naturally produce, and the hidden-layer activations lose any clear relation to the magnetization except at large </w:t>
      </w:r>
      <m:oMath>
        <m:d>
          <m:dPr>
            <m:begChr m:val="|"/>
            <m:sepChr m:val=""/>
            <m:endChr m:val="|"/>
          </m:dPr>
          <m:e>
            <m:r>
              <m:t>m</m:t>
            </m:r>
          </m:e>
        </m:d>
      </m:oMath>
      <w:r>
        <w:rPr>
          <w:i w:val="0"/>
        </w:rPr>
        <w:t>, showing instead traces of a linear relation to the configurational energy; the network then classifies on a combined representation of the energy and the magnetization.</w:t>
      </w:r>
    </w:p>
    <w:p>
      <w:r>
        <w:rPr>
          <w:i w:val="0"/>
        </w:rPr>
        <w:t xml:space="preserve">Sebastian J. Wetzel and Manuel Scherzer settled the question by construction. Build a classifier whose output neurons have a fixed receptive field, followed by an averaging layer that destroys all spatial information, and the size of that field becomes a hard limit on which spin correlations the decision function can contain. Trained on Ising configurations sampled below </w:t>
      </w:r>
      <m:oMath>
        <m:r>
          <m:t>T/J=1.6</m:t>
        </m:r>
      </m:oMath>
      <w:r>
        <w:rPr>
          <w:i w:val="0"/>
        </w:rPr>
        <w:t xml:space="preserve"> and above </w:t>
      </w:r>
      <m:oMath>
        <m:r>
          <m:t>T/J=2.9</m:t>
        </m:r>
      </m:oMath>
      <w:r>
        <w:rPr>
          <w:i w:val="0"/>
        </w:rPr>
        <w:t xml:space="preserve"> at </w:t>
      </w:r>
      <m:oMath>
        <m:r>
          <m:t>L=28</m:t>
        </m:r>
      </m:oMath>
      <w:r>
        <w:rPr>
          <w:i w:val="0"/>
        </w:rPr>
        <w:t xml:space="preserve">, a </w:t>
      </w:r>
      <m:oMath>
        <m:r>
          <m:t>1×1</m:t>
        </m:r>
      </m:oMath>
      <w:r>
        <w:rPr>
          <w:i w:val="0"/>
        </w:rPr>
        <w:t xml:space="preserve"> field forces the decision function to be a function of </w:t>
      </w:r>
      <m:oMath>
        <m:sSup>
          <m:e>
            <m:r>
              <m:t>N</m:t>
            </m:r>
          </m:e>
          <m:sup>
            <m:r>
              <m:t>−1</m:t>
            </m:r>
          </m:sup>
        </m:sSup>
        <m:nary>
          <m:naryPr>
            <m:chr m:val="∑"/>
            <m:limLoc m:val="subSup"/>
            <m:grow m:val="1"/>
            <m:subHide m:val="off"/>
            <m:supHide m:val="on"/>
          </m:naryPr>
          <m:sub>
            <m:r>
              <m:t>i</m:t>
            </m:r>
          </m:sub>
          <m:sup/>
          <m:e>
            <m:sSub>
              <m:e>
                <m:r>
                  <m:t>σ</m:t>
                </m:r>
              </m:e>
              <m:sub>
                <m:r>
                  <m:t>i</m:t>
                </m:r>
              </m:sub>
            </m:sSub>
          </m:e>
        </m:nary>
      </m:oMath>
      <w:r>
        <w:rPr>
          <w:i w:val="0"/>
        </w:rPr>
        <w:t xml:space="preserve"> alone, since </w:t>
      </w:r>
      <m:oMath>
        <m:sSubSup>
          <m:e>
            <m:r>
              <m:t>σ</m:t>
            </m:r>
          </m:e>
          <m:sub>
            <m:r>
              <m:t>i</m:t>
            </m:r>
          </m:sub>
          <m:sup>
            <m:r>
              <m:t>2</m:t>
            </m:r>
          </m:sup>
        </m:sSubSup>
        <m:r>
          <m:t>=1</m:t>
        </m:r>
      </m:oMath>
      <w:r>
        <w:rPr>
          <w:i w:val="0"/>
        </w:rPr>
        <w:t xml:space="preserve"> truncates every higher term of its Taylor expansion; the latent prediction is then perfectly correlated with </w:t>
      </w:r>
      <m:oMath>
        <m:d>
          <m:dPr>
            <m:begChr m:val="|"/>
            <m:sepChr m:val=""/>
            <m:endChr m:val="|"/>
          </m:dPr>
          <m:e>
            <m:r>
              <m:t>m</m:t>
            </m:r>
          </m:e>
        </m:d>
      </m:oMath>
      <w:r>
        <w:rPr>
          <w:i w:val="0"/>
        </w:rPr>
        <w:t xml:space="preserve">, uncorrelated with the average product of neighbouring spins, and its crossing locates the transition only to </w:t>
      </w:r>
      <m:oMath>
        <m:r>
          <m:t>T/J=2.5±0.5</m:t>
        </m:r>
      </m:oMath>
      <w:r>
        <w:rPr>
          <w:i w:val="0"/>
        </w:rPr>
        <w:t xml:space="preserve">. Widen the field to </w:t>
      </w:r>
      <m:oMath>
        <m:r>
          <m:t>1×2</m:t>
        </m:r>
      </m:oMath>
      <w:r>
        <w:rPr>
          <w:i w:val="0"/>
        </w:rPr>
        <w:t xml:space="preserve"> and the latent prediction becomes perfectly correlated with the average nearest-neighbour product, the expected energy per site, and uncorrelated with the magnitude of the mean spin; the crossing tightens to </w:t>
      </w:r>
      <m:oMath>
        <m:r>
          <m:t>2.25±0.25</m:t>
        </m:r>
      </m:oMath>
      <w:r>
        <w:rPr>
          <w:i w:val="0"/>
        </w:rPr>
        <w:t xml:space="preserve"> and the loss drops sharply. Widening further, out to the full </w:t>
      </w:r>
      <m:oMath>
        <m:r>
          <m:t>28×28</m:t>
        </m:r>
      </m:oMath>
      <w:r>
        <w:rPr>
          <w:i w:val="0"/>
        </w:rPr>
        <w:t>, which is an unrestricted convolutional network, produces no further drop in training or validation loss at all.</w:t>
      </w:r>
    </w:p>
    <w:p>
      <w:r>
        <w:rPr>
          <w:i w:val="0"/>
        </w:rPr>
        <w:t xml:space="preserve">Kouji Kashiwa, Yuta Kikuchi and Akio Tomiya then found that which of those two quantities a network reports depends on how the network is built. Training on Ising configurations labelled by temperature instead of by phase and dissecting the trained weights, they found the first-layer outputs of a fully connected network cleanly correlated with the magnetization per site, with the second-layer weights changing structure at the exact critical coupling </w:t>
      </w:r>
      <m:oMath>
        <m:sSub>
          <m:e>
            <m:r>
              <m:t>K</m:t>
            </m:r>
          </m:e>
          <m:sub>
            <m:r>
              <m:t>c</m:t>
            </m:r>
          </m:sub>
        </m:sSub>
        <m:r>
          <m:t>=0.4407</m:t>
        </m:r>
      </m:oMath>
      <w:r>
        <w:rPr>
          <w:i w:val="0"/>
        </w:rPr>
        <w:t xml:space="preserve">; on the same data a convolutional network's first-layer outputs are proportional to the internal energy instead. The internal energy varies far more strongly with temperature than </w:t>
      </w:r>
      <m:oMath>
        <m:d>
          <m:dPr>
            <m:begChr m:val="|"/>
            <m:sepChr m:val=""/>
            <m:endChr m:val="|"/>
          </m:dPr>
          <m:e>
            <m:r>
              <m:t>m</m:t>
            </m:r>
          </m:e>
        </m:d>
      </m:oMath>
      <w:r>
        <w:rPr>
          <w:i w:val="0"/>
        </w:rPr>
        <w:t xml:space="preserve"> does away from </w:t>
      </w:r>
      <m:oMath>
        <m:sSub>
          <m:e>
            <m:r>
              <m:t>T</m:t>
            </m:r>
          </m:e>
          <m:sub>
            <m:r>
              <m:t>c</m:t>
            </m:r>
          </m:sub>
        </m:sSub>
      </m:oMath>
      <w:r>
        <w:rPr>
          <w:i w:val="0"/>
        </w:rPr>
        <w:t>, so a network optimizing a temperature prediction prefers it, which is also why the convolutional network reaches roughly twice the accuracy of the fully connected one. On the Ising model the ambiguity is harmless, since both quantities are known and both change at the same temperature. On a disordered chain with no agreed order parameter, nothing resolves it, and the choice of architecture becomes a choice about what the answer will be about.</w:t>
      </w:r>
    </w:p>
    <w:p>
      <w:pPr>
        <w:pStyle w:val="Heading1"/>
      </w:pPr>
      <w:r>
        <w:t>References</w:t>
      </w:r>
    </w:p>
    <w:p>
      <w:pPr>
        <w:spacing w:before="120" w:after="0"/>
        <w:ind w:firstLine="0"/>
      </w:pPr>
      <w:r>
        <w:rPr>
          <w:i w:val="0"/>
        </w:rPr>
        <w:t xml:space="preserve">Arnold, Schäfer (2022). Physical Review X 12, 031044. </w:t>
      </w:r>
      <w:hyperlink r:id="rId63">
        <w:r>
          <w:rPr>
            <w:rStyle w:val="Hyperlink"/>
          </w:rPr>
          <w:t xml:space="preserve">https://doi.org/10.1103/PhysRevX.12.031044</w:t>
        </w:r>
      </w:hyperlink>
    </w:p>
    <w:p>
      <w:pPr>
        <w:spacing w:before="120" w:after="0"/>
        <w:ind w:firstLine="0"/>
      </w:pPr>
      <w:r>
        <w:rPr>
          <w:i w:val="0"/>
        </w:rPr>
        <w:t xml:space="preserve">Carrasquilla, Melko (2017). Machine learning phases of matter. Nature Physics 13, 431-434. </w:t>
      </w:r>
      <w:hyperlink r:id="rId53">
        <w:r>
          <w:rPr>
            <w:rStyle w:val="Hyperlink"/>
          </w:rPr>
          <w:t xml:space="preserve">https://doi.org/10.1038/nphys4035</w:t>
        </w:r>
      </w:hyperlink>
    </w:p>
    <w:p>
      <w:pPr>
        <w:spacing w:before="120" w:after="0"/>
        <w:ind w:firstLine="0"/>
      </w:pPr>
      <w:r>
        <w:rPr>
          <w:i w:val="0"/>
        </w:rPr>
        <w:t xml:space="preserve">Hu, Singh, Scalettar (2017). Physical Review E 95, 062122. </w:t>
      </w:r>
      <w:hyperlink r:id="rId64">
        <w:r>
          <w:rPr>
            <w:rStyle w:val="Hyperlink"/>
          </w:rPr>
          <w:t xml:space="preserve">https://doi.org/10.1103/PhysRevE.95.062122</w:t>
        </w:r>
      </w:hyperlink>
    </w:p>
    <w:p>
      <w:pPr>
        <w:spacing w:before="120" w:after="0"/>
        <w:ind w:firstLine="0"/>
      </w:pPr>
      <w:r>
        <w:rPr>
          <w:i w:val="0"/>
        </w:rPr>
        <w:t xml:space="preserve">Kashiwa, Kikuchi, Tomiya (2019). Progress of Theoretical and Experimental Physics 2019, 083A04. </w:t>
      </w:r>
      <w:hyperlink r:id="rId65">
        <w:r>
          <w:rPr>
            <w:rStyle w:val="Hyperlink"/>
          </w:rPr>
          <w:t xml:space="preserve">https://doi.org/10.1093/ptep/ptz082</w:t>
        </w:r>
      </w:hyperlink>
    </w:p>
    <w:p>
      <w:pPr>
        <w:spacing w:before="120" w:after="0"/>
        <w:ind w:firstLine="0"/>
      </w:pPr>
      <w:r>
        <w:rPr>
          <w:i w:val="0"/>
        </w:rPr>
        <w:t xml:space="preserve">Kottmann, Huembeli, Lewenstein, Acín (2020). Physical Review Letters 125, 170603. </w:t>
      </w:r>
      <w:hyperlink r:id="rId66">
        <w:r>
          <w:rPr>
            <w:rStyle w:val="Hyperlink"/>
          </w:rPr>
          <w:t xml:space="preserve">https://doi.org/10.1103/PhysRevLett.125.170603</w:t>
        </w:r>
      </w:hyperlink>
    </w:p>
    <w:p>
      <w:pPr>
        <w:spacing w:before="120" w:after="0"/>
        <w:ind w:firstLine="0"/>
      </w:pPr>
      <w:r>
        <w:rPr>
          <w:i w:val="0"/>
        </w:rPr>
        <w:t xml:space="preserve">Liu, van Nieuwenburg (2018). Physical Review Letters 120, 176401. </w:t>
      </w:r>
      <w:hyperlink r:id="rId67">
        <w:r>
          <w:rPr>
            <w:rStyle w:val="Hyperlink"/>
          </w:rPr>
          <w:t xml:space="preserve">https://doi.org/10.1103/PhysRevLett.120.176401</w:t>
        </w:r>
      </w:hyperlink>
    </w:p>
    <w:p>
      <w:pPr>
        <w:spacing w:before="120" w:after="0"/>
        <w:ind w:firstLine="0"/>
      </w:pPr>
      <w:r>
        <w:rPr>
          <w:i w:val="0"/>
        </w:rPr>
        <w:t xml:space="preserve">Rem, Käming, Tarnowski, Asteria, Fläschner, Becker, Sengstock, Weitenberg (2019). Nature Physics 15, 917-920. </w:t>
      </w:r>
      <w:hyperlink r:id="rId68">
        <w:r>
          <w:rPr>
            <w:rStyle w:val="Hyperlink"/>
          </w:rPr>
          <w:t xml:space="preserve">https://doi.org/10.1038/s41567-019-0554-0</w:t>
        </w:r>
      </w:hyperlink>
    </w:p>
    <w:p>
      <w:pPr>
        <w:spacing w:before="120" w:after="0"/>
        <w:ind w:firstLine="0"/>
      </w:pPr>
      <w:r>
        <w:rPr>
          <w:i w:val="0"/>
        </w:rPr>
        <w:t xml:space="preserve">Rodriguez-Nieva, Scheurer (2019). Nature Physics 15, 790-795. </w:t>
      </w:r>
      <w:hyperlink r:id="rId69">
        <w:r>
          <w:rPr>
            <w:rStyle w:val="Hyperlink"/>
          </w:rPr>
          <w:t xml:space="preserve">https://doi.org/10.1038/s41567-019-0512-x</w:t>
        </w:r>
      </w:hyperlink>
    </w:p>
    <w:p>
      <w:pPr>
        <w:spacing w:before="120" w:after="0"/>
        <w:ind w:firstLine="0"/>
      </w:pPr>
      <w:r>
        <w:rPr>
          <w:i w:val="0"/>
        </w:rPr>
        <w:t xml:space="preserve">Suchsland, Wessel (2018). Physical Review B 97, 174435. </w:t>
      </w:r>
      <w:hyperlink r:id="rId58">
        <w:r>
          <w:rPr>
            <w:rStyle w:val="Hyperlink"/>
          </w:rPr>
          <w:t xml:space="preserve">https://doi.org/10.1103/PhysRevB.97.174435</w:t>
        </w:r>
      </w:hyperlink>
    </w:p>
    <w:p>
      <w:pPr>
        <w:spacing w:before="120" w:after="0"/>
        <w:ind w:firstLine="0"/>
      </w:pPr>
      <w:r>
        <w:rPr>
          <w:i w:val="0"/>
        </w:rPr>
        <w:t xml:space="preserve">van Nieuwenburg, Liu, Huber (2017). Nature Physics 13, 435-439. </w:t>
      </w:r>
      <w:hyperlink r:id="rId55">
        <w:r>
          <w:rPr>
            <w:rStyle w:val="Hyperlink"/>
          </w:rPr>
          <w:t xml:space="preserve">https://doi.org/10.1038/nphys4037</w:t>
        </w:r>
      </w:hyperlink>
    </w:p>
    <w:p>
      <w:pPr>
        <w:spacing w:before="120" w:after="0"/>
        <w:ind w:firstLine="0"/>
      </w:pPr>
      <w:r>
        <w:rPr>
          <w:i w:val="0"/>
        </w:rPr>
        <w:t xml:space="preserve">Wang (2016). Physical Review B 94, 195105. </w:t>
      </w:r>
      <w:hyperlink r:id="rId70">
        <w:r>
          <w:rPr>
            <w:rStyle w:val="Hyperlink"/>
          </w:rPr>
          <w:t xml:space="preserve">https://doi.org/10.1103/PhysRevB.94.195105</w:t>
        </w:r>
      </w:hyperlink>
    </w:p>
    <w:p>
      <w:pPr>
        <w:spacing w:before="120" w:after="0"/>
        <w:ind w:firstLine="0"/>
      </w:pPr>
      <w:r>
        <w:rPr>
          <w:i w:val="0"/>
        </w:rPr>
        <w:t xml:space="preserve">Wetzel (2017). Physical Review E 96, 022140. </w:t>
      </w:r>
      <w:hyperlink r:id="rId71">
        <w:r>
          <w:rPr>
            <w:rStyle w:val="Hyperlink"/>
          </w:rPr>
          <w:t xml:space="preserve">https://doi.org/10.1103/PhysRevE.96.022140</w:t>
        </w:r>
      </w:hyperlink>
    </w:p>
    <w:p>
      <w:pPr>
        <w:spacing w:before="120" w:after="0"/>
        <w:ind w:firstLine="0"/>
      </w:pPr>
      <w:r>
        <w:rPr>
          <w:i w:val="0"/>
        </w:rPr>
        <w:t xml:space="preserve">Wetzel, Scherzer (2017). Physical Review B 96, 184410. </w:t>
      </w:r>
      <w:hyperlink r:id="rId56">
        <w:r>
          <w:rPr>
            <w:rStyle w:val="Hyperlink"/>
          </w:rPr>
          <w:t xml:space="preserve">https://doi.org/10.1103/PhysRevB.96.184410</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03/PhysRevX.12.031044" TargetMode="External"/><Relationship Id="rId64" Type="http://schemas.openxmlformats.org/officeDocument/2006/relationships/hyperlink" Target="https://doi.org/10.1103/PhysRevE.95.062122" TargetMode="External"/><Relationship Id="rId65" Type="http://schemas.openxmlformats.org/officeDocument/2006/relationships/hyperlink" Target="https://doi.org/10.1093/ptep/ptz082" TargetMode="External"/><Relationship Id="rId66" Type="http://schemas.openxmlformats.org/officeDocument/2006/relationships/hyperlink" Target="https://doi.org/10.1103/PhysRevLett.125.170603" TargetMode="External"/><Relationship Id="rId67" Type="http://schemas.openxmlformats.org/officeDocument/2006/relationships/hyperlink" Target="https://doi.org/10.1103/PhysRevLett.120.176401" TargetMode="External"/><Relationship Id="rId68" Type="http://schemas.openxmlformats.org/officeDocument/2006/relationships/hyperlink" Target="https://doi.org/10.1038/s41567-019-0554-0" TargetMode="External"/><Relationship Id="rId69" Type="http://schemas.openxmlformats.org/officeDocument/2006/relationships/hyperlink" Target="https://doi.org/10.1038/s41567-019-0512-x" TargetMode="External"/><Relationship Id="rId70" Type="http://schemas.openxmlformats.org/officeDocument/2006/relationships/hyperlink" Target="https://doi.org/10.1103/PhysRevB.94.195105" TargetMode="External"/><Relationship Id="rId71" Type="http://schemas.openxmlformats.org/officeDocument/2006/relationships/hyperlink" Target="https://doi.org/10.1103/PhysRevE.96.0221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