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7</w:t>
      </w:r>
    </w:p>
    <w:p>
      <w:pPr>
        <w:pStyle w:val="Heading1"/>
      </w:pPr>
      <w:r>
        <w:t>What Is the Network Actually Looking At?</w:t>
      </w:r>
    </w:p>
    <w:p>
      <w:pPr>
        <w:pStyle w:val="BookSection"/>
      </w:pPr>
      <w:r>
        <w:t>Two Networks, One Data Set</w:t>
      </w:r>
    </w:p>
    <w:p>
      <w:r>
        <w:rPr>
          <w:i w:val="0"/>
        </w:rPr>
        <w:t xml:space="preserve">Kouji Kashiwa, Yuta Kikuchi and Akio Tomiya took the phase labels away. Rather than tag each configuration with the phase it came from, they trained networks to predict the coupling that generated it, at twenty target values </w:t>
      </w:r>
      <m:oMath>
        <m:r>
          <m:t>K=0.05,0.10,…,1.00</m:t>
        </m:r>
      </m:oMath>
      <w:r>
        <w:rPr>
          <w:i w:val="0"/>
        </w:rPr>
        <w:t xml:space="preserve"> on two-dimensional Ising configurations of side sixteen. The regression protocol was Akinori Tanaka and Tomiya's, who had earlier trained a convolutional network on configurations labelled by discretized inverse temperature, found that it locates the transition with no prior information about it, and built an order parameter out of the network itself that reproduces the exact critical inverse temperature. Kashiwa, Kikuchi and Tomiya then dissected the trained weights. In a fully connected network, whose hidden layer they cut from eighty units to five and then to three, the first-layer outputs</w:t>
      </w:r>
    </w:p>
    <w:p>
      <w:pPr>
        <w:spacing w:before="200" w:after="200"/>
        <w:ind w:firstLine="0"/>
        <w:jc w:val="center"/>
        <w:contextualSpacing w:val="0"/>
      </w:pPr>
      <m:oMath>
        <m:sSub>
          <m:e>
            <m:r>
              <m:t>x</m:t>
            </m:r>
          </m:e>
          <m:sub>
            <m:r>
              <m:t>a</m:t>
            </m:r>
          </m:sub>
        </m:sSub>
        <m:r>
          <m:t>=</m:t>
        </m:r>
        <m:nary>
          <m:naryPr>
            <m:chr m:val="∑"/>
            <m:limLoc m:val="subSup"/>
            <m:grow m:val="1"/>
            <m:subHide m:val="off"/>
            <m:supHide m:val="on"/>
          </m:naryPr>
          <m:sub>
            <m:r>
              <m:t>i</m:t>
            </m:r>
          </m:sub>
          <m:sup/>
          <m:e>
            <m:sSub>
              <m:e>
                <m:r>
                  <m:t>w</m:t>
                </m:r>
              </m:e>
              <m:sub>
                <m:r>
                  <m:t>ai</m:t>
                </m:r>
              </m:sub>
            </m:sSub>
          </m:e>
        </m:nary>
        <m:sSub>
          <m:e>
            <m:r>
              <m:t>σ</m:t>
            </m:r>
          </m:e>
          <m:sub>
            <m:r>
              <m:t>i</m:t>
            </m:r>
          </m:sub>
        </m:sSub>
        <m:r>
          <m:t>+</m:t>
        </m:r>
        <m:sSub>
          <m:e>
            <m:r>
              <m:t>b</m:t>
            </m:r>
          </m:e>
          <m:sub>
            <m:r>
              <m:t>a</m:t>
            </m:r>
          </m:sub>
        </m:sSub>
      </m:oMath>
    </w:p>
    <w:p>
      <w:r>
        <w:rPr>
          <w:i w:val="0"/>
        </w:rPr>
        <w:t xml:space="preserve">correlate cleanly with the magnetization per site of the input, and the second-layer weights change structure at the critical coupling </w:t>
      </w:r>
      <m:oMath>
        <m:sSub>
          <m:e>
            <m:r>
              <m:t>K</m:t>
            </m:r>
          </m:e>
          <m:sub>
            <m:r>
              <m:t>c</m:t>
            </m:r>
          </m:sub>
        </m:sSub>
        <m:r>
          <m:t>=</m:t>
        </m:r>
        <m:f>
          <m:fPr>
            <m:type m:val="bar"/>
          </m:fPr>
          <m:num>
            <m:argPr>
              <m:scrLvl m:val="0"/>
            </m:argPr>
            <m:r>
              <m:t>1</m:t>
            </m:r>
          </m:num>
          <m:den>
            <m:argPr>
              <m:scrLvl m:val="0"/>
            </m:argPr>
            <m:r>
              <m:t>2</m:t>
            </m:r>
          </m:den>
        </m:f>
        <m:r>
          <m:rPr>
            <m:sty m:val="p"/>
          </m:rPr>
          <m:t>ln</m:t>
        </m:r>
        <m:r>
          <m:t>(1+</m:t>
        </m:r>
        <m:rad>
          <m:radPr>
            <m:degHide m:val="on"/>
          </m:radPr>
          <m:deg/>
          <m:e>
            <m:r>
              <m:t>2</m:t>
            </m:r>
          </m:e>
        </m:rad>
        <m:r>
          <m:t>)=0.4407</m:t>
        </m:r>
      </m:oMath>
      <w:r>
        <w:rPr>
          <w:i w:val="0"/>
        </w:rPr>
        <w:t>, which lies between the eighth and ninth of the twenty targets, so all but a few of the training couplings sit well away from criticality. That change in the second layer is the only place where the transition enters a network that was never told a transition exists; the first layer supplies a quantity, and the layer above it is where the mapping from that quantity to the coupling stops behaving the same way on both sides. In a convolutional network with three hidden units the picture inverts. The first-layer outputs become proportional to the internal energy instead.</w:t>
      </w:r>
    </w:p>
    <w:p>
      <w:r>
        <w:rPr>
          <w:i w:val="0"/>
        </w:rPr>
        <w:t>Two architectures, one data set, one labelling, two different physical quantities. The explanation Kashiwa, Kikuchi and Tomiya offer is economic. Away from the critical point the internal energy varies far more strongly with coupling than the magnitude of the magnetization does, so a network optimizing coupling prediction should prefer it, and the convolutional network duly attains roughly twice the temperature-prediction accuracy of the fully connected one. That reasoning is correct and it is not enough, because steepness against coupling is a property of the data and is identical for both architectures. It explains a preference among options. It does not explain why the two architectures are offered different options.</w:t>
      </w:r>
    </w:p>
    <w:p>
      <w:pPr>
        <w:pStyle w:val="BookSection"/>
      </w:pPr>
      <w:r>
        <w:t>What a First Layer Can Represent</w:t>
      </w:r>
    </w:p>
    <w:p>
      <w:r>
        <w:rPr>
          <w:i w:val="0"/>
        </w:rPr>
        <w:t xml:space="preserve">The answer is algebraic and it is exact. Because </w:t>
      </w:r>
      <m:oMath>
        <m:sSubSup>
          <m:e>
            <m:r>
              <m:t>σ</m:t>
            </m:r>
          </m:e>
          <m:sub>
            <m:r>
              <m:t>i</m:t>
            </m:r>
          </m:sub>
          <m:sup>
            <m:r>
              <m:t>2</m:t>
            </m:r>
          </m:sup>
        </m:sSubSup>
        <m:r>
          <m:t>=1</m:t>
        </m:r>
      </m:oMath>
      <w:r>
        <w:rPr>
          <w:i w:val="0"/>
        </w:rPr>
        <w:t>, every real function on configurations has a unique expansion in products of distinct spins, the Fourier-Walsh expansion,</w:t>
      </w:r>
    </w:p>
    <w:p>
      <w:pPr>
        <w:spacing w:before="200" w:after="200"/>
        <w:ind w:firstLine="0"/>
        <w:jc w:val="center"/>
        <w:contextualSpacing w:val="0"/>
      </w:pPr>
      <m:oMath>
        <m:r>
          <m:t>f(σ)=</m:t>
        </m:r>
        <m:nary>
          <m:naryPr>
            <m:chr m:val="∑"/>
            <m:limLoc m:val="subSup"/>
            <m:grow m:val="1"/>
            <m:subHide m:val="off"/>
            <m:supHide m:val="on"/>
          </m:naryPr>
          <m:sub>
            <m:r>
              <m:t>A⊆{1,…,N}</m:t>
            </m:r>
          </m:sub>
          <m:sup/>
          <m:e>
            <m:limUpp>
              <m:e>
                <m:r>
                  <m:t>f</m:t>
                </m:r>
              </m:e>
              <m:lim>
                <m:r>
                  <m:t>^</m:t>
                </m:r>
              </m:lim>
            </m:limUpp>
          </m:e>
        </m:nary>
        <m:r>
          <m:t>(A)</m:t>
        </m:r>
        <m:nary>
          <m:naryPr>
            <m:chr m:val="∏"/>
            <m:limLoc m:val="subSup"/>
            <m:grow m:val="1"/>
            <m:subHide m:val="off"/>
            <m:supHide m:val="on"/>
          </m:naryPr>
          <m:sub>
            <m:r>
              <m:t>i∈A</m:t>
            </m:r>
          </m:sub>
          <m:sup/>
          <m:e>
            <m:sSub>
              <m:e>
                <m:r>
                  <m:t>σ</m:t>
                </m:r>
              </m:e>
              <m:sub>
                <m:r>
                  <m:t>i</m:t>
                </m:r>
              </m:sub>
            </m:sSub>
          </m:e>
        </m:nary>
        <m:r>
          <m:t>,</m:t>
        </m:r>
      </m:oMath>
    </w:p>
    <w:p>
      <w:r>
        <w:rPr>
          <w:i w:val="0"/>
        </w:rPr>
        <w:t xml:space="preserve">with no higher powers anywhere, so a function is characterized by which monomials it uses and how far across the lattice their supports reach. The two candidate quantities sit at fixed and different places in that expansion. The magnetization per site is the whole of degree one with uniform coefficients. The internal energy is pure degree two, supported on the </w:t>
      </w:r>
      <m:oMath>
        <m:r>
          <m:t>2N</m:t>
        </m:r>
      </m:oMath>
      <w:r>
        <w:rPr>
          <w:i w:val="0"/>
        </w:rPr>
        <w:t xml:space="preserve"> nearest-neighbour bonds and on none of the remaining pairs.</w:t>
      </w:r>
    </w:p>
    <w:p>
      <w:r>
        <w:rPr>
          <w:i w:val="0"/>
        </w:rPr>
        <w:t xml:space="preserve">Now read the fully connected unit </w:t>
      </w:r>
      <m:oMath>
        <m:r>
          <m:t>g(</m:t>
        </m:r>
        <m:nary>
          <m:naryPr>
            <m:chr m:val="∑"/>
            <m:limLoc m:val="subSup"/>
            <m:grow m:val="1"/>
            <m:subHide m:val="off"/>
            <m:supHide m:val="on"/>
          </m:naryPr>
          <m:sub>
            <m:r>
              <m:t>i</m:t>
            </m:r>
          </m:sub>
          <m:sup/>
          <m:e>
            <m:sSub>
              <m:e>
                <m:r>
                  <m:t>w</m:t>
                </m:r>
              </m:e>
              <m:sub>
                <m:r>
                  <m:t>ai</m:t>
                </m:r>
              </m:sub>
            </m:sSub>
          </m:e>
        </m:nary>
        <m:sSub>
          <m:e>
            <m:r>
              <m:t>σ</m:t>
            </m:r>
          </m:e>
          <m:sub>
            <m:r>
              <m:t>i</m:t>
            </m:r>
          </m:sub>
        </m:sSub>
        <m:r>
          <m:t>+</m:t>
        </m:r>
        <m:sSub>
          <m:e>
            <m:r>
              <m:t>b</m:t>
            </m:r>
          </m:e>
          <m:sub>
            <m:r>
              <m:t>a</m:t>
            </m:r>
          </m:sub>
        </m:sSub>
        <m:r>
          <m:t>)</m:t>
        </m:r>
      </m:oMath>
      <w:r>
        <w:rPr>
          <w:i w:val="0"/>
        </w:rPr>
        <w:t xml:space="preserve"> in that basis. Degree one is free: set the weights uniform and the pre-activation is already the magnetization, before any nonlinearity acts. Degree two is expensive. The coefficient the unit attaches to </w:t>
      </w:r>
      <m:oMath>
        <m:sSub>
          <m:e>
            <m:r>
              <m:t>σ</m:t>
            </m:r>
          </m:e>
          <m:sub>
            <m:r>
              <m:t>i</m:t>
            </m:r>
          </m:sub>
        </m:sSub>
        <m:sSub>
          <m:e>
            <m:r>
              <m:t>σ</m:t>
            </m:r>
          </m:e>
          <m:sub>
            <m:r>
              <m:t>j</m:t>
            </m:r>
          </m:sub>
        </m:sSub>
      </m:oMath>
      <w:r>
        <w:rPr>
          <w:i w:val="0"/>
        </w:rPr>
        <w:t xml:space="preserve"> is governed by the product </w:t>
      </w:r>
      <m:oMath>
        <m:sSub>
          <m:e>
            <m:r>
              <m:t>w</m:t>
            </m:r>
          </m:e>
          <m:sub>
            <m:r>
              <m:t>ai</m:t>
            </m:r>
          </m:sub>
        </m:sSub>
        <m:sSub>
          <m:e>
            <m:r>
              <m:t>w</m:t>
            </m:r>
          </m:e>
          <m:sub>
            <m:r>
              <m:t>aj</m:t>
            </m:r>
          </m:sub>
        </m:sSub>
      </m:oMath>
      <w:r>
        <w:rPr>
          <w:i w:val="0"/>
        </w:rPr>
        <w:t xml:space="preserve">, so one unit contributes a rank-one pattern of pair weights, and a layer of </w:t>
      </w:r>
      <m:oMath>
        <m:sSub>
          <m:e>
            <m:r>
              <m:t>n</m:t>
            </m:r>
          </m:e>
          <m:sub>
            <m:r>
              <m:t>h</m:t>
            </m:r>
          </m:sub>
        </m:sSub>
      </m:oMath>
      <w:r>
        <w:rPr>
          <w:i w:val="0"/>
        </w:rPr>
        <w:t xml:space="preserve"> units contributes a pattern of rank at most </w:t>
      </w:r>
      <m:oMath>
        <m:sSub>
          <m:e>
            <m:r>
              <m:t>n</m:t>
            </m:r>
          </m:e>
          <m:sub>
            <m:r>
              <m:t>h</m:t>
            </m:r>
          </m:sub>
        </m:sSub>
      </m:oMath>
      <w:r>
        <w:rPr>
          <w:i w:val="0"/>
        </w:rPr>
        <w:t xml:space="preserve">. The pair pattern the internal energy requires is the adjacency matrix of the square lattice, whose eigenvalues </w:t>
      </w:r>
      <m:oMath>
        <m:r>
          <m:t>2</m:t>
        </m:r>
        <m:r>
          <m:rPr>
            <m:sty m:val="p"/>
          </m:rPr>
          <m:t>cos</m:t>
        </m:r>
        <m:sSub>
          <m:e>
            <m:r>
              <m:t>k</m:t>
            </m:r>
          </m:e>
          <m:sub>
            <m:r>
              <m:t>x</m:t>
            </m:r>
          </m:sub>
        </m:sSub>
        <m:r>
          <m:t>+2</m:t>
        </m:r>
        <m:r>
          <m:rPr>
            <m:sty m:val="p"/>
          </m:rPr>
          <m:t>cos</m:t>
        </m:r>
        <m:sSub>
          <m:e>
            <m:r>
              <m:t>k</m:t>
            </m:r>
          </m:e>
          <m:sub>
            <m:r>
              <m:t>y</m:t>
            </m:r>
          </m:sub>
        </m:sSub>
      </m:oMath>
      <w:r>
        <w:rPr>
          <w:i w:val="0"/>
        </w:rPr>
        <w:t xml:space="preserve"> vanish only along a line in the Brillouin zone, leaving a rank of order </w:t>
      </w:r>
      <m:oMath>
        <m:r>
          <m:t>N</m:t>
        </m:r>
      </m:oMath>
      <w:r>
        <w:rPr>
          <w:i w:val="0"/>
        </w:rPr>
        <w:t>. Three hidden units cannot supply a rank-256 pattern, and eighty cannot either. The internal energy is not merely disfavoured in a fully connected first layer. It is close to unreachable there, and the magnetization costs nothing.</w:t>
      </w:r>
    </w:p>
    <w:p>
      <w:r>
        <w:rPr>
          <w:i w:val="0"/>
        </w:rPr>
        <w:t xml:space="preserve">The obvious objection is that a network with one hidden layer approximates any continuous function to any accuracy, so nothing is unreachable in principle. That is the universal approximation theorem, and it is a statement about unbounded width. The rank counting above is a statement about width at the values actually used, which in the fully connected networks of this literature are three, five, eighty and one hundred, against lattices of </w:t>
      </w:r>
      <m:oMath>
        <m:r>
          <m:t>256</m:t>
        </m:r>
      </m:oMath>
      <w:r>
        <w:rPr>
          <w:i w:val="0"/>
        </w:rPr>
        <w:t xml:space="preserve"> and </w:t>
      </w:r>
      <m:oMath>
        <m:r>
          <m:t>1600</m:t>
        </m:r>
      </m:oMath>
      <w:r>
        <w:rPr>
          <w:i w:val="0"/>
        </w:rPr>
        <w:t xml:space="preserve"> spins. Approximating the internal energy from a global affine functional means building the nearest-neighbour pair pattern out of rank-one pieces while cancelling the contributions those same pieces make at every other pair and at every higher degree, and the number of pieces needed grows with the lattice. The theorem promises that a wide enough layer can do it. Nothing promises that gradient descent on a narrow one will, and the weight dissection says it did not.</w:t>
      </w:r>
    </w:p>
    <w:p>
      <w:r>
        <w:rPr>
          <w:i w:val="0"/>
        </w:rPr>
        <w:t>A convolutional filter of side two changes the accounting completely. Its weight vector is supported on four sites, so the expansion of the filter output contains only the fifteen monomials that live inside that patch, four of which are nearest-neighbour bonds. Averaging the filter over translations returns a translation-invariant sum of local monomials of degree at most four, and the internal energy is the simplest quadratic member of that family. What a receptive field restricts is not resolution but degree and support, and inside a small patch every low-degree local quantity is cheap.</w:t>
      </w:r>
    </w:p>
    <w:p>
      <w:r>
        <w:rPr>
          <w:i w:val="0"/>
        </w:rPr>
        <w:t>That single fact organizes results usually reported as separate discoveries. It is why the receptive-field ladder of Sebastian Johann Wetzel and Manuel Scherzer moves the way it does, a one-by-one field containing a single spin and therefore only degree one, so the decision function is a function of the magnetization alone; a one-by-two field containing a bond, so the energy per site appears and the loss drops sharply; and no further gain from enlarging the field to the full lattice. It is why a two-by-two field, which contains a plaquette, was enough for the convolutional network with which Juan Carrasquilla and Roger G. Melko read the Ising lattice gauge theory, whose own appendix showed it was evaluating four-spin plaquette constraints and nothing topological, and why Pedro Ponte and Melko's polynomial kernels needed exactly degree four on that model and nothing less. And it is why Philippe Suchsland and Stefan Wessel found that eight fixed two-by-two rectified-linear filters handle domain-wall configurations efficiently: degree one and degree two both live inside the patch, so the architecture never has to choose between magnetization and local energy.</w:t>
      </w:r>
    </w:p>
    <w:p>
      <w:pPr>
        <w:pStyle w:val="BookSection"/>
      </w:pPr>
      <w:r>
        <w:t>Sufficiency Is Not Exclusivity</w:t>
      </w:r>
    </w:p>
    <w:p>
      <w:r>
        <w:rPr>
          <w:i w:val="0"/>
        </w:rPr>
        <w:t>The saturation of the receptive-field ladder is a statement about what is needed, not about what is used. Once a one-by-two field reaches the loss floor set by the overlap of the two training distributions, no longer-ranged correlation can lower the loss further. The unrestricted network sits on that same floor with capacity to spare, and spare capacity is routinely spent on correlations that make no difference to the loss. Upgrading sufficiency to exclusivity requires a separate experiment on the unrestricted network itself, and the experiment is not hard to specify.</w:t>
      </w:r>
    </w:p>
    <w:p>
      <w:r>
        <w:rPr>
          <w:i w:val="0"/>
        </w:rPr>
        <w:t>Take configurations from the trained network's test set and resample them under a constraint that fixes the magnetization and the nearest-neighbour energy exactly while randomizing everything of longer range, then check whether the output has moved. If the unrestricted network is reading only what the one-by-two network can read, the scores are unchanged; if it has spent its spare capacity elsewhere, they move. The complementary check regresses the unrestricted network's latent variable against both candidates and asks whether anything is left in the residual. Neither has been run, so nothing in the ladder licenses the stronger claim, and what follows are cases where the two readings come apart.</w:t>
      </w:r>
    </w:p>
    <w:p>
      <w:r>
        <w:rPr>
          <w:i w:val="0"/>
        </w:rPr>
        <w:t xml:space="preserve">There is a second restriction on what the ladder can be asked. The two training classes were drawn from below </w:t>
      </w:r>
      <m:oMath>
        <m:r>
          <m:t>T=1.6</m:t>
        </m:r>
      </m:oMath>
      <w:r>
        <w:rPr>
          <w:i w:val="0"/>
        </w:rPr>
        <w:t xml:space="preserve"> and above </w:t>
      </w:r>
      <m:oMath>
        <m:r>
          <m:t>T=2.9</m:t>
        </m:r>
      </m:oMath>
      <w:r>
        <w:rPr>
          <w:i w:val="0"/>
        </w:rPr>
        <w:t xml:space="preserve">, with the critical temperature </w:t>
      </w:r>
      <m:oMath>
        <m:r>
          <m:t>2.269</m:t>
        </m:r>
      </m:oMath>
      <w:r>
        <w:rPr>
          <w:i w:val="0"/>
        </w:rPr>
        <w:t xml:space="preserve"> sitting inside a blanked window more than half a unit wide. The correlation length is short in both classes by construction, and a decision function reaching one bond is enough to separate two short-correlated ensembles. What saturation establishes is that with the critical region removed from the data, degree two exhausts the task. It cannot establish what would be needed on a task that includes it, and no experiment in this literature restores that window and repeats the ladder.</w:t>
      </w:r>
    </w:p>
    <w:p>
      <w:pPr>
        <w:pStyle w:val="BookSection"/>
      </w:pPr>
      <w:r>
        <w:t>The Sampler Belongs to the Hypothesis Class</w:t>
      </w:r>
    </w:p>
    <w:p>
      <w:r>
        <w:rPr>
          <w:i w:val="0"/>
        </w:rPr>
        <w:t>The features on offer are also fixed by the algorithm that produced the configurations, which Suchsland and Wessel established by changing nothing else. The low-temperature training sets throughout this literature were generated with the Wolff cluster algorithm, which flips large correlated regions in a single move and returns strongly polarized states containing no extended domain walls. Local single-spin-flip dynamics returns something different at the same temperature.</w:t>
      </w:r>
    </w:p>
    <w:p>
      <w:r>
        <w:rPr>
          <w:i w:val="0"/>
        </w:rPr>
        <w:t xml:space="preserve">The difference is not a matter of taste. A pair of straight domain walls wrapping a periodic lattice of side </w:t>
      </w:r>
      <m:oMath>
        <m:r>
          <m:t>L</m:t>
        </m:r>
      </m:oMath>
      <w:r>
        <w:rPr>
          <w:i w:val="0"/>
        </w:rPr>
        <w:t xml:space="preserve"> costs an energy </w:t>
      </w:r>
      <m:oMath>
        <m:r>
          <m:t>4JL</m:t>
        </m:r>
      </m:oMath>
      <w:r>
        <w:rPr>
          <w:i w:val="0"/>
        </w:rPr>
        <w:t xml:space="preserve">, so such a state carries Boltzmann weight of order </w:t>
      </w:r>
      <m:oMath>
        <m:sSup>
          <m:e>
            <m:r>
              <m:t>e</m:t>
            </m:r>
          </m:e>
          <m:sup>
            <m:r>
              <m:t>−4βJL</m:t>
            </m:r>
          </m:sup>
        </m:sSup>
      </m:oMath>
      <w:r>
        <w:rPr>
          <w:i w:val="0"/>
        </w:rPr>
        <w:t>, exponentially small in the linear size. An equilibrium low-temperature sample should contain almost none of them. A local-update chain, however, enters those states easily and then cannot leave, because escaping requires moving a wall across the whole lattice one spin at a time, and at accessible run lengths it does not happen. The resulting low-temperature set is not a Boltzmann ensemble that happens to have been sampled differently. It is a set that has not equilibrated, and a sizeable fraction of it consists of states the equilibrium distribution assigns essentially no weight.</w:t>
      </w:r>
    </w:p>
    <w:p>
      <w:r>
        <w:rPr>
          <w:i w:val="0"/>
        </w:rPr>
        <w:t>Fed the Wolff data, the hidden-layer activations of a fully connected network track the magnetization. Fed a significant fraction of extended-domain-wall states, those activations lose any clear overall relation to the magnetization except at large magnitude and show instead traces of a linear relation to the configurational energy, with the classification resting on a combined representation of the two. The algebra of the previous section says the first layer still cannot compute the energy, and it does not need to. Its output is still an affine functional of the spins; what has changed is the joint distribution of that functional with the energy across the training set. Domain walls lower the magnetization and raise the energy together, so on an ensemble stocked with them a quantity the layer can compute becomes an excellent proxy for one it cannot. The correlation is real and the representation is not.</w:t>
      </w:r>
    </w:p>
    <w:p>
      <w:r>
        <w:rPr>
          <w:i w:val="0"/>
        </w:rPr>
        <w:t>Accuracy does not notice any of this. The classification score is the same either way, and so is the extracted phase boundary, which means no score-based diagnostic can detect a training set that has failed to equilibrate. Suchsland and Wessel accordingly pair the confusion scheme of Evert P. L. van Nieuwenburg, Ye-Hua Liu and Sebastian D. Huber with a simple threshold-value classifier and use the combination as a diagnostic for what a given network has learned rather than for where the transition sits. The same paper runs the corresponding test one level lower, contrasting bare spin inputs against vortex-preprocessed inputs for the two-dimensional XY model, which is where the question of what to feed in stops being a detail.</w:t>
      </w:r>
    </w:p>
    <w:p>
      <w:pPr>
        <w:pStyle w:val="BookSection"/>
      </w:pPr>
      <w:r>
        <w:t>Which Variables You Hand Over</w:t>
      </w:r>
    </w:p>
    <w:p>
      <w:r>
        <w:rPr>
          <w:i w:val="0"/>
        </w:rPr>
        <w:t>Beneath the architecture and the sampler lies the coarsest restriction of all, the choice of what to feed in. Wenjian Hu, Rajiv R. P. Singh and Richard T. Scalettar applied principal component analysis and autoencoders to the square-lattice Ising ferromagnet, the triangular-lattice Ising antiferromagnet, the Blume-Capel model, a biquadratic-exchange spin-one Ising model and the two-dimensional XY model. Much of it works. Principal component analysis locates transition temperatures with reasonable accuracy, the evolution of the leading component's distribution separates a strong first-order transition from a continuous one and a crossover from a genuine transition, the components map onto Fourier modes and order parameters with size dependence that yields critical exponents, and in the frustrated triangular antiferromagnet they point toward incipient orders.</w:t>
      </w:r>
    </w:p>
    <w:p>
      <w:r>
        <w:rPr>
          <w:i w:val="0"/>
        </w:rPr>
        <w:t xml:space="preserve">The two failures are the useful part. For the biquadratic spin-one model, feeding the raw variables </w:t>
      </w:r>
      <m:oMath>
        <m:d>
          <m:dPr>
            <m:begChr m:val="{"/>
            <m:sepChr m:val=""/>
            <m:endChr m:val="}"/>
          </m:dPr>
          <m:e>
            <m:sSub>
              <m:e>
                <m:r>
                  <m:t>S</m:t>
                </m:r>
              </m:e>
              <m:sub>
                <m:r>
                  <m:t>i</m:t>
                </m:r>
              </m:sub>
            </m:sSub>
          </m:e>
        </m:d>
      </m:oMath>
      <w:r>
        <w:rPr>
          <w:i w:val="0"/>
        </w:rPr>
        <w:t xml:space="preserve"> produces no dominant principal component at all and a projection in which every temperature is mixed together. The structure that distinguishes low temperature from high lives in the checkerboard arrangement of </w:t>
      </w:r>
      <m:oMath>
        <m:sSubSup>
          <m:e>
            <m:r>
              <m:t>S</m:t>
            </m:r>
          </m:e>
          <m:sub>
            <m:r>
              <m:t>i</m:t>
            </m:r>
          </m:sub>
          <m:sup>
            <m:r>
              <m:t>2</m:t>
            </m:r>
          </m:sup>
        </m:sSubSup>
      </m:oMath>
      <w:r>
        <w:rPr>
          <w:i w:val="0"/>
        </w:rPr>
        <w:t xml:space="preserve">, the local charge, while the signed variables average to zero; Hu, Singh and Scalettar also establish that this model has no phase transition and a macroscopic ground-state degeneracy. Feeding </w:t>
      </w:r>
      <m:oMath>
        <m:d>
          <m:dPr>
            <m:begChr m:val="{"/>
            <m:sepChr m:val=""/>
            <m:endChr m:val="}"/>
          </m:dPr>
          <m:e>
            <m:sSubSup>
              <m:e>
                <m:r>
                  <m:t>S</m:t>
                </m:r>
              </m:e>
              <m:sub>
                <m:r>
                  <m:t>i</m:t>
                </m:r>
              </m:sub>
              <m:sup>
                <m:r>
                  <m:t>2</m:t>
                </m:r>
              </m:sup>
            </m:sSubSup>
          </m:e>
        </m:d>
      </m:oMath>
      <w:r>
        <w:rPr>
          <w:i w:val="0"/>
        </w:rPr>
        <w:t xml:space="preserve"> instead restores a dominant component immediately. In the XY model the same thing happens with the local vorticity of each plaquette, which takes the values </w:t>
      </w:r>
      <m:oMath>
        <m:r>
          <m:t>+1</m:t>
        </m:r>
      </m:oMath>
      <w:r>
        <w:rPr>
          <w:i w:val="0"/>
        </w:rPr>
        <w:t xml:space="preserve">, </w:t>
      </w:r>
      <m:oMath>
        <m:r>
          <m:t>0</m:t>
        </m:r>
      </m:oMath>
      <w:r>
        <w:rPr>
          <w:i w:val="0"/>
        </w:rPr>
        <w:t xml:space="preserve"> and </w:t>
      </w:r>
      <m:oMath>
        <m:r>
          <m:t>−1</m:t>
        </m:r>
      </m:oMath>
      <w:r>
        <w:rPr>
          <w:i w:val="0"/>
        </w:rPr>
        <w:t>. Fed the signed values the analysis finds nothing, because vortices and antivortices occur in equal numbers and cancel. Fed the absolute vorticity, one wherever a defect of either sign sits, a dominant component reappears, though the signal looks more like a crossover than a true transition, and Hu, Singh and Scalettar note that seeing the vortex-antivortex unbinding transition this way may be difficult for principal component analysis or for any machine learning technique.</w:t>
      </w:r>
    </w:p>
    <w:p>
      <w:r>
        <w:rPr>
          <w:i w:val="0"/>
        </w:rPr>
        <w:t xml:space="preserve">This is the same algebra as the receptive field, one level further out. Principal component analysis diagonalizes a covariance matrix, so its components are linear functionals of whatever variables were supplied, degree one and nothing else. Both quantities that rescue these two models are degree two in the supplied variables: </w:t>
      </w:r>
      <m:oMath>
        <m:sSubSup>
          <m:e>
            <m:r>
              <m:t>S</m:t>
            </m:r>
          </m:e>
          <m:sub>
            <m:r>
              <m:t>i</m:t>
            </m:r>
          </m:sub>
          <m:sup>
            <m:r>
              <m:t>2</m:t>
            </m:r>
          </m:sup>
        </m:sSubSup>
      </m:oMath>
      <w:r>
        <w:rPr>
          <w:i w:val="0"/>
        </w:rPr>
        <w:t xml:space="preserve"> is manifestly so, and for vorticity taking three integer values the absolute value is precisely the square. No linear functional of the inputs recovers a quadratic function of them, which is why the failures are total rather than partial and why they announce themselves as an absence of structure rather than as a wrong answer. Restricting a receptive field bounds the degree a decision function may reach; choosing the input variables decides what degree one is degree one in. Bare spins, bond variables, triangle variables, plaquette variables and vorticity are different bases, and no linear map carries one into another.</w:t>
      </w:r>
    </w:p>
    <w:p>
      <w:pPr>
        <w:pStyle w:val="BookSection"/>
      </w:pPr>
      <w:r>
        <w:t>When the Score Ranks the Mechanisms Wrongly</w:t>
      </w:r>
    </w:p>
    <w:p>
      <w:r>
        <w:rPr>
          <w:i w:val="0"/>
        </w:rPr>
        <w:t>Matthew J. S. Beach, Anna Golubeva and Melko pushed the XY case until the score and the mechanism disagreed outright. The question is whether a network can classify phases from topological defects rather than from a bulk order parameter, which is the only honest question for the Berezinskii-Kosterlitz-Thouless transition, since the Mermin-Wagner theorem forbids spontaneous magnetization at any nonzero temperature in two dimensions and the low-temperature phase carries only quasi-long-range order with power-law correlations. A single-layer network does not classify the phases at all. A convolutional network classifies them easily, and Beach, Golubeva and Melko showed that it does so by learning the global magnetization.</w:t>
      </w:r>
    </w:p>
    <w:p>
      <w:r>
        <w:rPr>
          <w:i w:val="0"/>
        </w:rPr>
        <w:t xml:space="preserve">The same degree counting applies here with one extra step. On a continuous-spin model the quantity available at degree one in the supplied components is the vector magnetization </w:t>
      </w:r>
      <m:oMath>
        <m:sSup>
          <m:e>
            <m:r>
              <m:t>N</m:t>
            </m:r>
          </m:e>
          <m:sup>
            <m:r>
              <m:t>−1</m:t>
            </m:r>
          </m:sup>
        </m:sSup>
        <m:nary>
          <m:naryPr>
            <m:chr m:val="∑"/>
            <m:limLoc m:val="subSup"/>
            <m:grow m:val="1"/>
            <m:subHide m:val="off"/>
            <m:supHide m:val="on"/>
          </m:naryPr>
          <m:sub>
            <m:r>
              <m:t>i</m:t>
            </m:r>
          </m:sub>
          <m:sup/>
          <m:e>
            <m:r>
              <m:t>(</m:t>
            </m:r>
            <m:r>
              <m:rPr>
                <m:sty m:val="p"/>
              </m:rPr>
              <m:t>cos</m:t>
            </m:r>
          </m:e>
        </m:nary>
        <m:sSub>
          <m:e>
            <m:r>
              <m:t>θ</m:t>
            </m:r>
          </m:e>
          <m:sub>
            <m:r>
              <m:t>i</m:t>
            </m:r>
          </m:sub>
        </m:sSub>
        <m:r>
          <m:t>,</m:t>
        </m:r>
        <m:r>
          <m:rPr>
            <m:sty m:val="p"/>
          </m:rPr>
          <m:t>sin</m:t>
        </m:r>
        <m:sSub>
          <m:e>
            <m:r>
              <m:t>θ</m:t>
            </m:r>
          </m:e>
          <m:sub>
            <m:r>
              <m:t>i</m:t>
            </m:r>
          </m:sub>
        </m:sSub>
        <m:r>
          <m:t>)</m:t>
        </m:r>
      </m:oMath>
      <w:r>
        <w:rPr>
          <w:i w:val="0"/>
        </w:rPr>
        <w:t>, whose components average to zero over the ensemble by the rotational symmetry of the Hamiltonian, so what a classifier can actually use is its magnitude, a quadratic function of the same components. That is the identical step that rescued the vorticity, a signed quantity replaced by its square, and it is the cheapest thing above degree one that a network on this input can build. What it buys on this model is a finite-size pseudo-order-parameter which vanishes in precisely the limit toward which the network's estimate is being extrapolated.</w:t>
      </w:r>
    </w:p>
    <w:p>
      <w:r>
        <w:rPr>
          <w:i w:val="0"/>
        </w:rPr>
        <w:t>Substantial feature engineering of the raw spin states is required before any feature of the vortex configurations can be credited with the learned transition temperature. Beach, Golubeva and Melko then built a deep network that learns vortices without feature engineering, and reported the awkward corollary: detecting vortices does not necessarily give the best classification accuracy, particularly for lattices below about a thousand spins. On this model, ranking candidate mechanisms by their scores places the physically correct one second.</w:t>
      </w:r>
    </w:p>
    <w:p>
      <w:pPr>
        <w:pStyle w:val="BookSection"/>
      </w:pPr>
      <w:r>
        <w:t>Declaring the Rung</w:t>
      </w:r>
    </w:p>
    <w:p>
      <w:r>
        <w:rPr>
          <w:i w:val="0"/>
        </w:rPr>
        <w:t xml:space="preserve">One response is to build the monomials by hand and say so. Yi Zhang and Eun-Ah Kim's quantum loop topography converts a many-body Hamiltonian or wave function into a multi-dimensional image by evaluating two-point operators arranged into closed loops at independent Monte Carlo steps, with the choice of loops guided by the relevant response function, here the Hall conductivity. Fed to a fully connected network with a single hidden layer, that representation separates Chern insulators and fractional Chern insulators from trivial insulators, producing what Zhang and Kim describe as the first machine-learned phase diagram containing a topological quantum phase transition. Zhang, Melko and Kim extended the construction to quasiparticle statistics, building loop observables sensitive to the mutual statistics of spinons and visons and locating the boundary of a </w:t>
      </w:r>
      <m:oMath>
        <m:sSub>
          <m:e>
            <m:r>
              <m:t>Z</m:t>
            </m:r>
          </m:e>
          <m:sub>
            <m:r>
              <m:t>2</m:t>
            </m:r>
          </m:sub>
        </m:sSub>
      </m:oMath>
      <w:r>
        <w:rPr>
          <w:i w:val="0"/>
        </w:rPr>
        <w:t xml:space="preserve"> quantum spin liquid without evaluating Wilson loops or the topological entanglement entropy.</w:t>
      </w:r>
    </w:p>
    <w:p>
      <w:r>
        <w:rPr>
          <w:i w:val="0"/>
        </w:rPr>
        <w:t>The choice of the loop is where the physics enters, and it is forced by what the quantity being sought looks like. The Hall conductivity of a filled band is fixed by the Chern number through the Thouless-Kohmoto-Nightingale-den Nijs formula, an integral of the Berry curvature over the Brillouin zone, and no local function of wave-function amplitudes computes it, because the phase of a state at a point is arbitrary and only the phase accumulated around a closed circuit is not. On a lattice the discrete Berry phase is a product of overlaps taken around a closed loop, so a closed loop of two-point operators is the smallest object in which the relevant quantity is even well defined. The loop is the high-degree, gauge-invariant monomial that no first layer assembles for itself, supplied rather than searched for, and the network is a cheap nonlinear readout sitting on top of it.</w:t>
      </w:r>
    </w:p>
    <w:p>
      <w:r>
        <w:rPr>
          <w:i w:val="0"/>
        </w:rPr>
        <w:t>Jonas Greitemann, Ke Liu and Lode Pollet made the basis itself the output. Their support vector machine uses a tensorial kernel drawn from the theory of orientational tensors, so the decision function is directly interpretable as an explicit multipolar order parameter, and it detects hidden nematic spin order with nobody specifying in advance what to look for.</w:t>
      </w:r>
    </w:p>
    <w:p>
      <w:r>
        <w:rPr>
          <w:i w:val="0"/>
        </w:rPr>
        <w:t>The instrument fits the problem because multipolar order is invisible to the obvious observables. A nematic state has no net magnetization, since reversing every spin leaves it unchanged, and the quantity that orders is a symmetric traceless tensor built from products of spin components rather than from the components themselves. A kernel that constructs monomials in those components up to a chosen rank places every candidate multipole in the feature space at once, and the coefficient matrix the optimization returns, read in that monomial basis, names which multipole ordered and with what weights. The rank plays the part the receptive field played earlier, bounding the degree while leaving the identity of the answer open. Applied to frustrated magnets by Greitemann, Liu, Ludovic D. C. Jaubert, Han Yan, Nic Shannon and Pollet, it recovered not only hidden order parameters but the emergent local constraints, the ground-state ice rules, that characterize classical spin liquids.</w:t>
      </w:r>
    </w:p>
    <w:p>
      <w:r>
        <w:rPr>
          <w:i w:val="0"/>
        </w:rPr>
        <w:t>The opposite response is to move the choice inside the optimization. Patrick Huembeli, Alexandre Dauphin and Peter Wittek took a first step with adversarial domain adaptation, training on a labelled region of parameter space and adapting to unlabelled data elsewhere, which yielded phase diagrams directly from ground states for the finite-temperature Ising model, the Bose-Hubbard model and the disordered Su-Schrieffer-Heeger model with no ad hoc preprocessing. Huembeli, Dauphin, Wittek and Christian Gogolin then made the arrangement an almost entirely unsupervised game between two networks with conflicting objectives, in which the machine itself selects the features it predicts from. On the disorder-driven many-body-localization transition it produced a new effective order parameter and located the transition from far fewer disorder realizations, cutting the numerical effort of mapping the phase diagram by roughly a factor of a hundred. What is gained is a feature nobody had to guess. What is given up is the declared basis, and with it any way of reading the found quantity against a candidate, which bites hardest in the many-body-localized case because no agreed candidate exists there to read it against.</w:t>
      </w:r>
    </w:p>
    <w:p>
      <w:r>
        <w:rPr>
          <w:i w:val="0"/>
        </w:rPr>
        <w:t xml:space="preserve">So the interpretable methods win on every count that has been argued here, and almost nobody stopped training networks. The reason is in what makes a polynomial readable. A kernel of degree </w:t>
      </w:r>
      <m:oMath>
        <m:r>
          <m:t>k</m:t>
        </m:r>
      </m:oMath>
      <w:r>
        <w:rPr>
          <w:i w:val="0"/>
        </w:rPr>
        <w:t xml:space="preserve"> writes the decision function in the basis of monomials of degree </w:t>
      </w:r>
      <m:oMath>
        <m:r>
          <m:t>k</m:t>
        </m:r>
      </m:oMath>
      <w:r>
        <w:rPr>
          <w:i w:val="0"/>
        </w:rPr>
        <w:t xml:space="preserve"> in the inputs, and a physicist can read it because that basis is explicit and finite, which requires two conditions that hold together only for classical spins on a lattice: </w:t>
      </w:r>
      <m:oMath>
        <m:sSubSup>
          <m:e>
            <m:r>
              <m:t>σ</m:t>
            </m:r>
          </m:e>
          <m:sub>
            <m:r>
              <m:t>i</m:t>
            </m:r>
          </m:sub>
          <m:sup>
            <m:r>
              <m:t>2</m:t>
            </m:r>
          </m:sup>
        </m:sSubSup>
        <m:r>
          <m:t>=1</m:t>
        </m:r>
      </m:oMath>
      <w:r>
        <w:rPr>
          <w:i w:val="0"/>
        </w:rPr>
        <w:t xml:space="preserve"> truncates the expansion, and locality bounds the degree at which the answer can hide. Even there the method strains, and Ponte and Melko needed more training samples to find the degree-four function as the lattice grew. The states the field wanted next satisfy neither condition. A quantum many-body state offers amplitudes, or sampled operators, or an entanglement spectrum, and nobody has written down the basis in which its order parameter is a low-degree polynomial of any of them. The quantity to be found and the basis it must be written in are one problem, not two.</w:t>
      </w:r>
    </w:p>
    <w:p>
      <w:pPr>
        <w:pStyle w:val="Heading1"/>
      </w:pPr>
      <w:r>
        <w:t>References</w:t>
      </w:r>
    </w:p>
    <w:p>
      <w:pPr>
        <w:spacing w:before="120" w:after="0"/>
        <w:ind w:firstLine="0"/>
      </w:pPr>
      <w:r>
        <w:rPr>
          <w:i w:val="0"/>
        </w:rPr>
        <w:t xml:space="preserve">Beach, Golubeva, Melko (2018). Physical Review B 97, 045207. </w:t>
      </w:r>
      <w:hyperlink r:id="rId63">
        <w:r>
          <w:rPr>
            <w:rStyle w:val="Hyperlink"/>
          </w:rPr>
          <w:t xml:space="preserve">https://doi.org/10.1103/PhysRevB.97.045207</w:t>
        </w:r>
      </w:hyperlink>
    </w:p>
    <w:p>
      <w:pPr>
        <w:spacing w:before="120" w:after="0"/>
        <w:ind w:firstLine="0"/>
      </w:pPr>
      <w:r>
        <w:rPr>
          <w:i w:val="0"/>
        </w:rPr>
        <w:t xml:space="preserve">Carrasquilla, Melko (2017). Machine learning phases of matter. Nature Physics 13, 431-434. </w:t>
      </w:r>
      <w:hyperlink r:id="rId53">
        <w:r>
          <w:rPr>
            <w:rStyle w:val="Hyperlink"/>
          </w:rPr>
          <w:t xml:space="preserve">https://doi.org/10.1038/nphys4035</w:t>
        </w:r>
      </w:hyperlink>
    </w:p>
    <w:p>
      <w:pPr>
        <w:spacing w:before="120" w:after="0"/>
        <w:ind w:firstLine="0"/>
      </w:pPr>
      <w:r>
        <w:rPr>
          <w:i w:val="0"/>
        </w:rPr>
        <w:t xml:space="preserve">Greitemann, Liu, Jaubert, Yan, Shannon, Pollet (2019). Physical Review B 100, 174408. </w:t>
      </w:r>
      <w:hyperlink r:id="rId64">
        <w:r>
          <w:rPr>
            <w:rStyle w:val="Hyperlink"/>
          </w:rPr>
          <w:t xml:space="preserve">https://doi.org/10.1103/PhysRevB.100.174408</w:t>
        </w:r>
      </w:hyperlink>
    </w:p>
    <w:p>
      <w:pPr>
        <w:spacing w:before="120" w:after="0"/>
        <w:ind w:firstLine="0"/>
      </w:pPr>
      <w:r>
        <w:rPr>
          <w:i w:val="0"/>
        </w:rPr>
        <w:t xml:space="preserve">Greitemann, Liu, Pollet (2019). Physical Review B 99, 060404(R). </w:t>
      </w:r>
      <w:hyperlink r:id="rId65">
        <w:r>
          <w:rPr>
            <w:rStyle w:val="Hyperlink"/>
          </w:rPr>
          <w:t xml:space="preserve">https://doi.org/10.1103/PhysRevB.99.060404</w:t>
        </w:r>
      </w:hyperlink>
    </w:p>
    <w:p>
      <w:pPr>
        <w:spacing w:before="120" w:after="0"/>
        <w:ind w:firstLine="0"/>
      </w:pPr>
      <w:r>
        <w:rPr>
          <w:i w:val="0"/>
        </w:rPr>
        <w:t xml:space="preserve">Hu, Singh, Scalettar (2017). Physical Review E 95, 062122. </w:t>
      </w:r>
      <w:hyperlink r:id="rId66">
        <w:r>
          <w:rPr>
            <w:rStyle w:val="Hyperlink"/>
          </w:rPr>
          <w:t xml:space="preserve">https://doi.org/10.1103/PhysRevE.95.062122</w:t>
        </w:r>
      </w:hyperlink>
    </w:p>
    <w:p>
      <w:pPr>
        <w:spacing w:before="120" w:after="0"/>
        <w:ind w:firstLine="0"/>
      </w:pPr>
      <w:r>
        <w:rPr>
          <w:i w:val="0"/>
        </w:rPr>
        <w:t xml:space="preserve">Huembeli, Dauphin, Wittek (2018). Identifying Quantum Phase Transitions with Adversarial Neural Networks. Physical Review B 97, 134109. </w:t>
      </w:r>
      <w:hyperlink r:id="rId67">
        <w:r>
          <w:rPr>
            <w:rStyle w:val="Hyperlink"/>
          </w:rPr>
          <w:t xml:space="preserve">https://doi.org/10.1103/PhysRevB.97.134109</w:t>
        </w:r>
      </w:hyperlink>
    </w:p>
    <w:p>
      <w:pPr>
        <w:spacing w:before="120" w:after="0"/>
        <w:ind w:firstLine="0"/>
      </w:pPr>
      <w:r>
        <w:rPr>
          <w:i w:val="0"/>
        </w:rPr>
        <w:t xml:space="preserve">Huembeli, Dauphin, Wittek, Gogolin (2019). Physical Review B 99, 104106. </w:t>
      </w:r>
      <w:hyperlink r:id="rId68">
        <w:r>
          <w:rPr>
            <w:rStyle w:val="Hyperlink"/>
          </w:rPr>
          <w:t xml:space="preserve">https://doi.org/10.1103/PhysRevB.99.104106</w:t>
        </w:r>
      </w:hyperlink>
    </w:p>
    <w:p>
      <w:pPr>
        <w:spacing w:before="120" w:after="0"/>
        <w:ind w:firstLine="0"/>
      </w:pPr>
      <w:r>
        <w:rPr>
          <w:i w:val="0"/>
        </w:rPr>
        <w:t xml:space="preserve">Kashiwa, Kikuchi, Tomiya (2019). Prog. Theor. Exp. Phys. 2019, 083A04. </w:t>
      </w:r>
      <w:hyperlink r:id="rId69">
        <w:r>
          <w:rPr>
            <w:rStyle w:val="Hyperlink"/>
          </w:rPr>
          <w:t xml:space="preserve">https://doi.org/10.1093/ptep/ptz082</w:t>
        </w:r>
      </w:hyperlink>
    </w:p>
    <w:p>
      <w:pPr>
        <w:spacing w:before="120" w:after="0"/>
        <w:ind w:firstLine="0"/>
      </w:pPr>
      <w:r>
        <w:rPr>
          <w:i w:val="0"/>
        </w:rPr>
        <w:t xml:space="preserve">Ponte, Melko (2017). Physical Review B 96, 205146. </w:t>
      </w:r>
      <w:hyperlink r:id="rId70">
        <w:r>
          <w:rPr>
            <w:rStyle w:val="Hyperlink"/>
          </w:rPr>
          <w:t xml:space="preserve">https://doi.org/10.1103/PhysRevB.96.205146</w:t>
        </w:r>
      </w:hyperlink>
    </w:p>
    <w:p>
      <w:pPr>
        <w:spacing w:before="120" w:after="0"/>
        <w:ind w:firstLine="0"/>
      </w:pPr>
      <w:r>
        <w:rPr>
          <w:i w:val="0"/>
        </w:rPr>
        <w:t xml:space="preserve">Suchsland, Wessel (2018). Physical Review B 97, 174435. </w:t>
      </w:r>
      <w:hyperlink r:id="rId58">
        <w:r>
          <w:rPr>
            <w:rStyle w:val="Hyperlink"/>
          </w:rPr>
          <w:t xml:space="preserve">https://doi.org/10.1103/PhysRevB.97.174435</w:t>
        </w:r>
      </w:hyperlink>
    </w:p>
    <w:p>
      <w:pPr>
        <w:spacing w:before="120" w:after="0"/>
        <w:ind w:firstLine="0"/>
      </w:pPr>
      <w:r>
        <w:rPr>
          <w:i w:val="0"/>
        </w:rPr>
        <w:t xml:space="preserve">Tanaka, Tomiya (2017). Journal of the Physical Society of Japan 86, 063001. </w:t>
      </w:r>
      <w:hyperlink r:id="rId71">
        <w:r>
          <w:rPr>
            <w:rStyle w:val="Hyperlink"/>
          </w:rPr>
          <w:t xml:space="preserve">https://doi.org/10.7566/JPSJ.86.063001</w:t>
        </w:r>
      </w:hyperlink>
    </w:p>
    <w:p>
      <w:pPr>
        <w:spacing w:before="120" w:after="0"/>
        <w:ind w:firstLine="0"/>
      </w:pPr>
      <w:r>
        <w:rPr>
          <w:i w:val="0"/>
        </w:rPr>
        <w:t xml:space="preserve">van Nieuwenburg, Liu, Huber (2017). Nature Physics 13, 435-439. </w:t>
      </w:r>
      <w:hyperlink r:id="rId55">
        <w:r>
          <w:rPr>
            <w:rStyle w:val="Hyperlink"/>
          </w:rPr>
          <w:t xml:space="preserve">https://doi.org/10.1038/nphys4037</w:t>
        </w:r>
      </w:hyperlink>
    </w:p>
    <w:p>
      <w:pPr>
        <w:spacing w:before="120" w:after="0"/>
        <w:ind w:firstLine="0"/>
      </w:pPr>
      <w:r>
        <w:rPr>
          <w:i w:val="0"/>
        </w:rPr>
        <w:t xml:space="preserve">Wetzel, Scherzer (2017). Physical Review B 96, 184410. </w:t>
      </w:r>
      <w:hyperlink r:id="rId56">
        <w:r>
          <w:rPr>
            <w:rStyle w:val="Hyperlink"/>
          </w:rPr>
          <w:t xml:space="preserve">https://doi.org/10.1103/PhysRevB.96.184410</w:t>
        </w:r>
      </w:hyperlink>
    </w:p>
    <w:p>
      <w:pPr>
        <w:spacing w:before="120" w:after="0"/>
        <w:ind w:firstLine="0"/>
      </w:pPr>
      <w:r>
        <w:rPr>
          <w:i w:val="0"/>
        </w:rPr>
        <w:t xml:space="preserve">Zhang, Kim (2017). Physical Review Letters 118, 216401. </w:t>
      </w:r>
      <w:hyperlink r:id="rId72">
        <w:r>
          <w:rPr>
            <w:rStyle w:val="Hyperlink"/>
          </w:rPr>
          <w:t xml:space="preserve">https://doi.org/10.1103/PhysRevLett.118.216401</w:t>
        </w:r>
      </w:hyperlink>
    </w:p>
    <w:p>
      <w:pPr>
        <w:spacing w:before="120" w:after="0"/>
        <w:ind w:firstLine="0"/>
      </w:pPr>
      <w:r>
        <w:rPr>
          <w:i w:val="0"/>
        </w:rPr>
        <w:t xml:space="preserve">Zhang, Melko, Kim (2017). Physical Review B 96, 245119. </w:t>
      </w:r>
      <w:hyperlink r:id="rId73">
        <w:r>
          <w:rPr>
            <w:rStyle w:val="Hyperlink"/>
          </w:rPr>
          <w:t xml:space="preserve">https://doi.org/10.1103/PhysRevB.96.245119</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103/PhysRevB.97.045207" TargetMode="External"/><Relationship Id="rId64" Type="http://schemas.openxmlformats.org/officeDocument/2006/relationships/hyperlink" Target="https://doi.org/10.1103/PhysRevB.100.174408" TargetMode="External"/><Relationship Id="rId65" Type="http://schemas.openxmlformats.org/officeDocument/2006/relationships/hyperlink" Target="https://doi.org/10.1103/PhysRevB.99.060404" TargetMode="External"/><Relationship Id="rId66" Type="http://schemas.openxmlformats.org/officeDocument/2006/relationships/hyperlink" Target="https://doi.org/10.1103/PhysRevE.95.062122" TargetMode="External"/><Relationship Id="rId67" Type="http://schemas.openxmlformats.org/officeDocument/2006/relationships/hyperlink" Target="https://doi.org/10.1103/PhysRevB.97.134109" TargetMode="External"/><Relationship Id="rId68" Type="http://schemas.openxmlformats.org/officeDocument/2006/relationships/hyperlink" Target="https://doi.org/10.1103/PhysRevB.99.104106" TargetMode="External"/><Relationship Id="rId69" Type="http://schemas.openxmlformats.org/officeDocument/2006/relationships/hyperlink" Target="https://doi.org/10.1093/ptep/ptz082" TargetMode="External"/><Relationship Id="rId70" Type="http://schemas.openxmlformats.org/officeDocument/2006/relationships/hyperlink" Target="https://doi.org/10.1103/PhysRevB.96.205146" TargetMode="External"/><Relationship Id="rId71" Type="http://schemas.openxmlformats.org/officeDocument/2006/relationships/hyperlink" Target="https://doi.org/10.7566/JPSJ.86.063001" TargetMode="External"/><Relationship Id="rId72" Type="http://schemas.openxmlformats.org/officeDocument/2006/relationships/hyperlink" Target="https://doi.org/10.1103/PhysRevLett.118.216401" TargetMode="External"/><Relationship Id="rId73" Type="http://schemas.openxmlformats.org/officeDocument/2006/relationships/hyperlink" Target="https://doi.org/10.1103/PhysRevB.96.245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