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2</w:t>
      </w:r>
    </w:p>
    <w:p>
      <w:pPr>
        <w:pStyle w:val="Heading1"/>
      </w:pPr>
      <w:r>
        <w:t>Universality, and the Art of Throwing Things Away</w:t>
      </w:r>
    </w:p>
    <w:p>
      <w:r>
        <w:rPr>
          <w:i w:val="0"/>
        </w:rPr>
        <w:t xml:space="preserve">In 1945 Edward Armand Guggenheim redrew the liquid-gas coexistence curves of eight substances on one pair of axes. Neon, argon, krypton, xenon, nitrogen, oxygen, carbon monoxide and methane have almost nothing in common at the level of a Hamiltonian, differing in mass, shape, polarizability and the form of the intermolecular force. Guggenheim divided each substance's temperature by its own critical temperature and each density by its own critical density, and the eight curves fell on top of one another. The common curve was fitted by an exponent near </w:t>
      </w:r>
      <m:oMath>
        <m:f>
          <m:fPr>
            <m:type m:val="lin"/>
          </m:fPr>
          <m:num>
            <m:r>
              <m:t>1</m:t>
            </m:r>
          </m:num>
          <m:den>
            <m:r>
              <m:t>3</m:t>
            </m:r>
          </m:den>
        </m:f>
      </m:oMath>
      <w:r>
        <w:rPr>
          <w:i w:val="0"/>
        </w:rPr>
        <w:t xml:space="preserve">, not by the </w:t>
      </w:r>
      <m:oMath>
        <m:f>
          <m:fPr>
            <m:type m:val="lin"/>
          </m:fPr>
          <m:num>
            <m:r>
              <m:t>1</m:t>
            </m:r>
          </m:num>
          <m:den>
            <m:r>
              <m:t>2</m:t>
            </m:r>
          </m:den>
        </m:f>
      </m:oMath>
      <w:r>
        <w:rPr>
          <w:i w:val="0"/>
        </w:rPr>
        <w:t xml:space="preserve"> that the van der Waals equation and every other mean-field treatment give.</w:t>
      </w:r>
    </w:p>
    <w:p>
      <w:r>
        <w:rPr>
          <w:i w:val="0"/>
        </w:rPr>
        <w:t>That reduced variables should make different fluids resemble one another was not a new idea, and the collapse alone is not the surprise. Two separate things need explaining. One is why eight substances share a curve at all. The other is why the shape of the shared curve was wrong for every theory then available. The answer to both, when it came twenty-six years later, was not that microscopic detail happens not to matter. It was that a particular map on Hamiltonians, which throws detail away at a definite rate, has a fixed point whose linearization has two expanding directions and infinitely many contracting ones, and that the critical exponents are fixed by the eigenvalues of that linearization together with the anomalous dimension of the field at the fixed point. Universality is a computed property of that map. This chapter builds the map, using the Ising model, the spine of the book and the system the companion application samples.</w:t>
      </w:r>
    </w:p>
    <w:p>
      <w:pPr>
        <w:pStyle w:val="BookSection"/>
      </w:pPr>
      <w:r>
        <w:t>The model, returned to for its mechanisms</w:t>
      </w:r>
    </w:p>
    <w:p>
      <w:r>
        <w:rPr>
          <w:i w:val="0"/>
        </w:rPr>
        <w:t>Chapter 1 used the sequence from Wilhelm Lenz and Ernst Ising through Rudolf Peierls, Lars Onsager and Chen Ning Yang to establish where the non-analyticity of a transition lives. That history is worth one return, because two of its arguments were not needed then and are needed now.</w:t>
      </w:r>
    </w:p>
    <w:p>
      <w:r>
        <w:rPr>
          <w:i w:val="0"/>
        </w:rPr>
        <w:t xml:space="preserve">The first is the one-dimensional solution, whose quickest modern route is the transfer matrix. With </w:t>
      </w:r>
      <m:oMath>
        <m:r>
          <m:t>K=J/</m:t>
        </m:r>
        <m:sSub>
          <m:e>
            <m:r>
              <m:t>k</m:t>
            </m:r>
          </m:e>
          <m:sub>
            <m:r>
              <m:t>B</m:t>
            </m:r>
          </m:sub>
        </m:sSub>
        <m:r>
          <m:t>T</m:t>
        </m:r>
      </m:oMath>
      <w:r>
        <w:rPr>
          <w:i w:val="0"/>
        </w:rPr>
        <w:t xml:space="preserve">, periodic boundary conditions and zero field, the partition function of a ring of </w:t>
      </w:r>
      <m:oMath>
        <m:r>
          <m:t>N</m:t>
        </m:r>
      </m:oMath>
      <w:r>
        <w:rPr>
          <w:i w:val="0"/>
        </w:rPr>
        <w:t xml:space="preserve"> spins is </w:t>
      </w:r>
      <m:oMath>
        <m:sSub>
          <m:e>
            <m:r>
              <m:t>Z</m:t>
            </m:r>
          </m:e>
          <m:sub>
            <m:r>
              <m:t>N</m:t>
            </m:r>
          </m:sub>
        </m:sSub>
        <m:r>
          <m:t>=</m:t>
        </m:r>
        <m:r>
          <m:rPr>
            <m:sty m:val="p"/>
          </m:rPr>
          <m:t>Tr</m:t>
        </m:r>
        <m:sSup>
          <m:e>
            <m:r>
              <m:t>T</m:t>
            </m:r>
          </m:e>
          <m:sup>
            <m:r>
              <m:t>N</m:t>
            </m:r>
          </m:sup>
        </m:sSup>
      </m:oMath>
      <w:r>
        <w:rPr>
          <w:i w:val="0"/>
        </w:rPr>
        <w:t xml:space="preserve"> with</w:t>
      </w:r>
    </w:p>
    <w:p>
      <w:pPr>
        <w:spacing w:before="200" w:after="200"/>
        <w:ind w:firstLine="0"/>
        <w:jc w:val="center"/>
        <w:contextualSpacing w:val="0"/>
      </w:pPr>
      <m:oMath>
        <m:r>
          <m:t>T=(</m:t>
        </m:r>
        <m:m>
          <m:mPr>
            <m:baseJc m:val="center"/>
            <m:plcHide m:val="on"/>
            <m:mcs>
              <m:mc>
                <m:mcPr>
                  <m:count m:val="2"/>
                  <m:mcJc m:val="center"/>
                </m:mcPr>
              </m:mc>
            </m:mcs>
          </m:mPr>
          <m:mr>
            <m:e>
              <m:sSup>
                <m:e>
                  <m:r>
                    <m:t>e</m:t>
                  </m:r>
                </m:e>
                <m:sup>
                  <m:r>
                    <m:t>K</m:t>
                  </m:r>
                </m:sup>
              </m:sSup>
            </m:e>
            <m:e>
              <m:sSup>
                <m:e>
                  <m:r>
                    <m:t>e</m:t>
                  </m:r>
                </m:e>
                <m:sup>
                  <m:r>
                    <m:t>−K</m:t>
                  </m:r>
                </m:sup>
              </m:sSup>
            </m:e>
          </m:mr>
          <m:mr>
            <m:e>
              <m:sSup>
                <m:e>
                  <m:r>
                    <m:t>e</m:t>
                  </m:r>
                </m:e>
                <m:sup>
                  <m:r>
                    <m:t>−K</m:t>
                  </m:r>
                </m:sup>
              </m:sSup>
            </m:e>
            <m:e>
              <m:sSup>
                <m:e>
                  <m:r>
                    <m:t>e</m:t>
                  </m:r>
                </m:e>
                <m:sup>
                  <m:r>
                    <m:t>K</m:t>
                  </m:r>
                </m:sup>
              </m:sSup>
            </m:e>
          </m:mr>
        </m:m>
        <m:r>
          <m:t>),</m:t>
        </m:r>
      </m:oMath>
    </w:p>
    <w:p>
      <w:r>
        <w:rPr>
          <w:i w:val="0"/>
        </w:rPr>
        <w:t xml:space="preserve">whose eigenvalues are </w:t>
      </w:r>
      <m:oMath>
        <m:r>
          <m:t>2</m:t>
        </m:r>
        <m:r>
          <m:rPr>
            <m:sty m:val="p"/>
          </m:rPr>
          <m:t>cosh</m:t>
        </m:r>
        <m:r>
          <m:t>K</m:t>
        </m:r>
      </m:oMath>
      <w:r>
        <w:rPr>
          <w:i w:val="0"/>
        </w:rPr>
        <w:t xml:space="preserve"> and </w:t>
      </w:r>
      <m:oMath>
        <m:r>
          <m:t>2</m:t>
        </m:r>
        <m:r>
          <m:rPr>
            <m:sty m:val="p"/>
          </m:rPr>
          <m:t>sinh</m:t>
        </m:r>
        <m:r>
          <m:t>K</m:t>
        </m:r>
      </m:oMath>
      <w:r>
        <w:rPr>
          <w:i w:val="0"/>
        </w:rPr>
        <w:t xml:space="preserve">. For large </w:t>
      </w:r>
      <m:oMath>
        <m:r>
          <m:t>N</m:t>
        </m:r>
      </m:oMath>
      <w:r>
        <w:rPr>
          <w:i w:val="0"/>
        </w:rPr>
        <w:t xml:space="preserve"> the free energy per spin is </w:t>
      </w:r>
      <m:oMath>
        <m:r>
          <m:t>−</m:t>
        </m:r>
        <m:sSub>
          <m:e>
            <m:r>
              <m:t>k</m:t>
            </m:r>
          </m:e>
          <m:sub>
            <m:r>
              <m:t>B</m:t>
            </m:r>
          </m:sub>
        </m:sSub>
        <m:r>
          <m:t>T</m:t>
        </m:r>
        <m:r>
          <m:rPr>
            <m:sty m:val="p"/>
          </m:rPr>
          <m:t>ln</m:t>
        </m:r>
        <m:r>
          <m:t>(2</m:t>
        </m:r>
        <m:r>
          <m:rPr>
            <m:sty m:val="p"/>
          </m:rPr>
          <m:t>cosh</m:t>
        </m:r>
        <m:r>
          <m:t>K)</m:t>
        </m:r>
      </m:oMath>
      <w:r>
        <w:rPr>
          <w:i w:val="0"/>
        </w:rPr>
        <w:t xml:space="preserve">, analytic at every finite temperature, and </w:t>
      </w:r>
      <m:oMath>
        <m:r>
          <m:t>⟨</m:t>
        </m:r>
        <m:sSub>
          <m:e>
            <m:r>
              <m:t>s</m:t>
            </m:r>
          </m:e>
          <m:sub>
            <m:r>
              <m:t>0</m:t>
            </m:r>
          </m:sub>
        </m:sSub>
        <m:sSub>
          <m:e>
            <m:r>
              <m:t>s</m:t>
            </m:r>
          </m:e>
          <m:sub>
            <m:r>
              <m:t>r</m:t>
            </m:r>
          </m:sub>
        </m:sSub>
        <m:r>
          <m:t>⟩=(</m:t>
        </m:r>
        <m:r>
          <m:rPr>
            <m:sty m:val="p"/>
          </m:rPr>
          <m:t>tanh</m:t>
        </m:r>
        <m:r>
          <m:t>K</m:t>
        </m:r>
        <m:sSup>
          <m:e>
            <m:r>
              <m:t>)</m:t>
            </m:r>
          </m:e>
          <m:sup>
            <m:r>
              <m:t>r</m:t>
            </m:r>
          </m:sup>
        </m:sSup>
      </m:oMath>
      <w:r>
        <w:rPr>
          <w:i w:val="0"/>
        </w:rPr>
        <w:t xml:space="preserve">, so </w:t>
      </w:r>
      <m:oMath>
        <m:sSup>
          <m:e>
            <m:r>
              <m:t>ξ</m:t>
            </m:r>
          </m:e>
          <m:sup>
            <m:r>
              <m:t>−1</m:t>
            </m:r>
          </m:sup>
        </m:sSup>
        <m:r>
          <m:t>=−</m:t>
        </m:r>
        <m:r>
          <m:rPr>
            <m:sty m:val="p"/>
          </m:rPr>
          <m:t>lntanh</m:t>
        </m:r>
        <m:r>
          <m:t>K</m:t>
        </m:r>
      </m:oMath>
      <w:r>
        <w:rPr>
          <w:i w:val="0"/>
        </w:rPr>
        <w:t xml:space="preserve"> is finite for all </w:t>
      </w:r>
      <m:oMath>
        <m:r>
          <m:t>T&gt;0</m:t>
        </m:r>
      </m:oMath>
      <w:r>
        <w:rPr>
          <w:i w:val="0"/>
        </w:rPr>
        <w:t xml:space="preserve"> and diverges only as </w:t>
      </w:r>
      <m:oMath>
        <m:r>
          <m:t>T→0</m:t>
        </m:r>
      </m:oMath>
      <w:r>
        <w:rPr>
          <w:i w:val="0"/>
        </w:rPr>
        <w:t>. Ising's conclusion for the chain was right; the extrapolation of it upward in dimension was not.</w:t>
      </w:r>
    </w:p>
    <w:p>
      <w:r>
        <w:rPr>
          <w:i w:val="0"/>
        </w:rPr>
        <w:t xml:space="preserve">The second is the bound Peierls published in 1936, still the standard proof that the two-dimensional model orders and still called the Peierls argument. Fix all boundary spins up and draw, on the dual lattice, the closed contours separating up from down regions. A contour of length </w:t>
      </w:r>
      <m:oMath>
        <m:r>
          <m:t>ℓ</m:t>
        </m:r>
      </m:oMath>
      <w:r>
        <w:rPr>
          <w:i w:val="0"/>
        </w:rPr>
        <w:t xml:space="preserve"> costs energy </w:t>
      </w:r>
      <m:oMath>
        <m:r>
          <m:t>2Jℓ</m:t>
        </m:r>
      </m:oMath>
      <w:r>
        <w:rPr>
          <w:i w:val="0"/>
        </w:rPr>
        <w:t xml:space="preserve"> and so carries weight </w:t>
      </w:r>
      <m:oMath>
        <m:sSup>
          <m:e>
            <m:r>
              <m:t>e</m:t>
            </m:r>
          </m:e>
          <m:sup>
            <m:r>
              <m:t>−2Kℓ</m:t>
            </m:r>
          </m:sup>
        </m:sSup>
      </m:oMath>
      <w:r>
        <w:rPr>
          <w:i w:val="0"/>
        </w:rPr>
        <w:t xml:space="preserve">, while the number of self-avoiding closed contours of length </w:t>
      </w:r>
      <m:oMath>
        <m:r>
          <m:t>ℓ</m:t>
        </m:r>
      </m:oMath>
      <w:r>
        <w:rPr>
          <w:i w:val="0"/>
        </w:rPr>
        <w:t xml:space="preserve"> enclosing a given site grows no faster than exponentially in </w:t>
      </w:r>
      <m:oMath>
        <m:r>
          <m:t>ℓ</m:t>
        </m:r>
      </m:oMath>
      <w:r>
        <w:rPr>
          <w:i w:val="0"/>
        </w:rPr>
        <w:t xml:space="preserve">, each step of the walk having at most three continuations. The expected number of contours surrounding the origin is therefore bounded by a sum of the form </w:t>
      </w:r>
      <m:oMath>
        <m:nary>
          <m:naryPr>
            <m:chr m:val="∑"/>
            <m:limLoc m:val="subSup"/>
            <m:grow m:val="1"/>
            <m:subHide m:val="off"/>
            <m:supHide m:val="on"/>
          </m:naryPr>
          <m:sub>
            <m:r>
              <m:t>ℓ</m:t>
            </m:r>
          </m:sub>
          <m:sup/>
          <m:e>
            <m:r>
              <m:t>ℓ</m:t>
            </m:r>
          </m:e>
        </m:nary>
        <m:sSup>
          <m:e>
            <m:r>
              <m:t>3</m:t>
            </m:r>
          </m:e>
          <m:sup>
            <m:r>
              <m:t>ℓ</m:t>
            </m:r>
          </m:sup>
        </m:sSup>
        <m:sSup>
          <m:e>
            <m:r>
              <m:t>e</m:t>
            </m:r>
          </m:e>
          <m:sup>
            <m:r>
              <m:t>−2Kℓ</m:t>
            </m:r>
          </m:sup>
        </m:sSup>
      </m:oMath>
      <w:r>
        <w:rPr>
          <w:i w:val="0"/>
        </w:rPr>
        <w:t xml:space="preserve">, which for large </w:t>
      </w:r>
      <m:oMath>
        <m:r>
          <m:t>K</m:t>
        </m:r>
      </m:oMath>
      <w:r>
        <w:rPr>
          <w:i w:val="0"/>
        </w:rPr>
        <w:t xml:space="preserve"> can be made as small as one likes, uniformly in the lattice size. The origin then agrees with the boundary with probability above one half however large the system, which is a nonzero spontaneous magnetization. The contrast with one dimension is the content: a wall in a chain costs a fixed </w:t>
      </w:r>
      <m:oMath>
        <m:r>
          <m:t>2J</m:t>
        </m:r>
      </m:oMath>
      <w:r>
        <w:rPr>
          <w:i w:val="0"/>
        </w:rPr>
        <w:t xml:space="preserve"> and can sit in </w:t>
      </w:r>
      <m:oMath>
        <m:r>
          <m:t>N</m:t>
        </m:r>
      </m:oMath>
      <w:r>
        <w:rPr>
          <w:i w:val="0"/>
        </w:rPr>
        <w:t xml:space="preserve"> places, so entropy beats energy at any temperature, while a wall enclosing a region of linear size </w:t>
      </w:r>
      <m:oMath>
        <m:r>
          <m:t>R</m:t>
        </m:r>
      </m:oMath>
      <w:r>
        <w:rPr>
          <w:i w:val="0"/>
        </w:rPr>
        <w:t xml:space="preserve"> in the plane costs an energy proportional to </w:t>
      </w:r>
      <m:oMath>
        <m:r>
          <m:t>R</m:t>
        </m:r>
      </m:oMath>
      <w:r>
        <w:rPr>
          <w:i w:val="0"/>
        </w:rPr>
        <w:t>.</w:t>
      </w:r>
    </w:p>
    <w:p>
      <w:r>
        <w:rPr>
          <w:i w:val="0"/>
        </w:rPr>
        <w:t xml:space="preserve">Onsager's 1944 solution and Yang's 1952 spontaneous magnetization then supply the two departures from mean-field theory this chapter has to account for: a specific heat that diverges logarithmically rather than jumping, and </w:t>
      </w:r>
      <m:oMath>
        <m:r>
          <m:t>β=1/8</m:t>
        </m:r>
      </m:oMath>
      <w:r>
        <w:rPr>
          <w:i w:val="0"/>
        </w:rPr>
        <w:t xml:space="preserve"> against the mean-field </w:t>
      </w:r>
      <m:oMath>
        <m:f>
          <m:fPr>
            <m:type m:val="lin"/>
          </m:fPr>
          <m:num>
            <m:r>
              <m:t>1</m:t>
            </m:r>
          </m:num>
          <m:den>
            <m:r>
              <m:t>2</m:t>
            </m:r>
          </m:den>
        </m:f>
      </m:oMath>
      <w:r>
        <w:rPr>
          <w:i w:val="0"/>
        </w:rPr>
        <w:t xml:space="preserve">. Both the logarithm and the mean-field jump are </w:t>
      </w:r>
      <m:oMath>
        <m:r>
          <m:t>α=0</m:t>
        </m:r>
      </m:oMath>
      <w:r>
        <w:rPr>
          <w:i w:val="0"/>
        </w:rPr>
        <w:t xml:space="preserve"> under the definition </w:t>
      </w:r>
      <m:oMath>
        <m:r>
          <m:t>C~|t</m:t>
        </m:r>
        <m:sSup>
          <m:e>
            <m:r>
              <m:t>|</m:t>
            </m:r>
          </m:e>
          <m:sup>
            <m:r>
              <m:t>−α</m:t>
            </m:r>
          </m:sup>
        </m:sSup>
      </m:oMath>
      <w:r>
        <w:rPr>
          <w:i w:val="0"/>
        </w:rPr>
        <w:t xml:space="preserve">, since neither is a power; the difference is that a logarithm is the marginal case of a real divergence and a jump is not a divergence at all. So by 1952 the classical exponents had two independent refutations, one exact and one experimental, which disagreed with each other: one eighth for a two-dimensional lattice model, one third for a fit to three-dimensional fluids. What they shared was only that neither was </w:t>
      </w:r>
      <m:oMath>
        <m:f>
          <m:fPr>
            <m:type m:val="lin"/>
          </m:fPr>
          <m:num>
            <m:r>
              <m:t>1</m:t>
            </m:r>
          </m:num>
          <m:den>
            <m:r>
              <m:t>2</m:t>
            </m:r>
          </m:den>
        </m:f>
      </m:oMath>
      <w:r>
        <w:rPr>
          <w:i w:val="0"/>
        </w:rPr>
        <w:t>.</w:t>
      </w:r>
    </w:p>
    <w:p>
      <w:pPr>
        <w:pStyle w:val="BookSection"/>
      </w:pPr>
      <w:r>
        <w:t>Exponents before any mechanism</w:t>
      </w:r>
    </w:p>
    <w:p>
      <w:r>
        <w:rPr>
          <w:i w:val="0"/>
        </w:rPr>
        <w:t xml:space="preserve">The next decade produced relations among exponents without producing a reason for them. On 15 February 1963 John W. Essam and Michael E. Fisher, at the Wheatstone Physics Laboratory of King's College, London, extracted </w:t>
      </w:r>
      <m:oMath>
        <m:r>
          <m:t>β</m:t>
        </m:r>
      </m:oMath>
      <w:r>
        <w:rPr>
          <w:i w:val="0"/>
        </w:rPr>
        <w:t xml:space="preserve"> and </w:t>
      </w:r>
      <m:oMath>
        <m:sSup>
          <m:e>
            <m:r>
              <m:t>γ</m:t>
            </m:r>
          </m:e>
          <m:sup>
            <m:r>
              <m:t>′</m:t>
            </m:r>
          </m:sup>
        </m:sSup>
      </m:oMath>
      <w:r>
        <w:rPr>
          <w:i w:val="0"/>
        </w:rPr>
        <w:t xml:space="preserve"> for the Ising ferromagnet from Padé approximant analysis of low-temperature series, and from consideration of a heuristic model partition function inferred the identity </w:t>
      </w:r>
      <m:oMath>
        <m:sSup>
          <m:e>
            <m:r>
              <m:t>α</m:t>
            </m:r>
          </m:e>
          <m:sup>
            <m:r>
              <m:t>′</m:t>
            </m:r>
          </m:sup>
        </m:sSup>
        <m:r>
          <m:t>+2β+</m:t>
        </m:r>
        <m:sSup>
          <m:e>
            <m:r>
              <m:t>γ</m:t>
            </m:r>
          </m:e>
          <m:sup>
            <m:r>
              <m:t>′</m:t>
            </m:r>
          </m:sup>
        </m:sSup>
        <m:r>
          <m:t>=2</m:t>
        </m:r>
      </m:oMath>
      <w:r>
        <w:rPr>
          <w:i w:val="0"/>
        </w:rPr>
        <w:t xml:space="preserve">. Primes denote the approach to </w:t>
      </w:r>
      <m:oMath>
        <m:sSub>
          <m:e>
            <m:r>
              <m:t>T</m:t>
            </m:r>
          </m:e>
          <m:sub>
            <m:r>
              <m:t>c</m:t>
            </m:r>
          </m:sub>
        </m:sSub>
      </m:oMath>
      <w:r>
        <w:rPr>
          <w:i w:val="0"/>
        </w:rPr>
        <w:t xml:space="preserve"> from below; that paper also introduced the notation </w:t>
      </w:r>
      <m:oMath>
        <m:r>
          <m:t>α,β,γ,δ</m:t>
        </m:r>
      </m:oMath>
      <w:r>
        <w:rPr>
          <w:i w:val="0"/>
        </w:rPr>
        <w:t xml:space="preserve"> now used everywhere.</w:t>
      </w:r>
    </w:p>
    <w:p>
      <w:r>
        <w:rPr>
          <w:i w:val="0"/>
        </w:rPr>
        <w:t xml:space="preserve">Five and a half months later, on 1 August 1963, George Stanley Rushbrooke published a two-page note proving the corresponding inequality, </w:t>
      </w:r>
      <m:oMath>
        <m:sSup>
          <m:e>
            <m:r>
              <m:t>α</m:t>
            </m:r>
          </m:e>
          <m:sup>
            <m:r>
              <m:t>′</m:t>
            </m:r>
          </m:sup>
        </m:sSup>
        <m:r>
          <m:t>+2β+</m:t>
        </m:r>
        <m:sSup>
          <m:e>
            <m:r>
              <m:t>γ</m:t>
            </m:r>
          </m:e>
          <m:sup>
            <m:r>
              <m:t>′</m:t>
            </m:r>
          </m:sup>
        </m:sSup>
        <m:r>
          <m:t>≥2</m:t>
        </m:r>
      </m:oMath>
      <w:r>
        <w:rPr>
          <w:i w:val="0"/>
        </w:rPr>
        <w:t xml:space="preserve">, citing the Essam and Fisher conjecture as its first reference. The proof uses no model: for a magnet with </w:t>
      </w:r>
      <m:oMath>
        <m:r>
          <m:t>H→−H</m:t>
        </m:r>
      </m:oMath>
      <w:r>
        <w:rPr>
          <w:i w:val="0"/>
        </w:rPr>
        <w:t xml:space="preserve"> symmetry, the positivity of specific heats required by the second law is enough. This is the Rushbrooke inequality. Robert B. Griffiths added the second classic one in 1965, the Griffiths inequality </w:t>
      </w:r>
      <m:oMath>
        <m:sSup>
          <m:e>
            <m:r>
              <m:t>α</m:t>
            </m:r>
          </m:e>
          <m:sup>
            <m:r>
              <m:t>′</m:t>
            </m:r>
          </m:sup>
        </m:sSup>
        <m:r>
          <m:t>+β(1+δ)≥2</m:t>
        </m:r>
      </m:oMath>
      <w:r>
        <w:rPr>
          <w:i w:val="0"/>
        </w:rPr>
        <w:t>, proved from convexity of the free energy.</w:t>
      </w:r>
    </w:p>
    <w:p>
      <w:r>
        <w:rPr>
          <w:i w:val="0"/>
        </w:rPr>
        <w:t xml:space="preserve">Later in 1965 Benjamin Widom proposed the hypothesis that turns both inequalities into equalities. The equation of state near the critical point is written through a function </w:t>
      </w:r>
      <m:oMath>
        <m:r>
          <m:t>Φ(x,y)</m:t>
        </m:r>
      </m:oMath>
      <w:r>
        <w:rPr>
          <w:i w:val="0"/>
        </w:rPr>
        <w:t xml:space="preserve">, with </w:t>
      </w:r>
      <m:oMath>
        <m:r>
          <m:t>x</m:t>
        </m:r>
      </m:oMath>
      <w:r>
        <w:rPr>
          <w:i w:val="0"/>
        </w:rPr>
        <w:t xml:space="preserve"> a measure of the temperature and </w:t>
      </w:r>
      <m:oMath>
        <m:r>
          <m:t>y</m:t>
        </m:r>
      </m:oMath>
      <w:r>
        <w:rPr>
          <w:i w:val="0"/>
        </w:rPr>
        <w:t xml:space="preserve"> of the density; classical fluids have </w:t>
      </w:r>
      <m:oMath>
        <m:r>
          <m:t>Φ</m:t>
        </m:r>
      </m:oMath>
      <w:r>
        <w:rPr>
          <w:i w:val="0"/>
        </w:rPr>
        <w:t xml:space="preserve"> constant, and Widom proposed that in a real fluid </w:t>
      </w:r>
      <m:oMath>
        <m:r>
          <m:t>Φ</m:t>
        </m:r>
      </m:oMath>
      <w:r>
        <w:rPr>
          <w:i w:val="0"/>
        </w:rPr>
        <w:t xml:space="preserve"> is a homogeneous function of </w:t>
      </w:r>
      <m:oMath>
        <m:r>
          <m:t>x</m:t>
        </m:r>
      </m:oMath>
      <w:r>
        <w:rPr>
          <w:i w:val="0"/>
        </w:rPr>
        <w:t xml:space="preserve"> and </w:t>
      </w:r>
      <m:oMath>
        <m:r>
          <m:t>y</m:t>
        </m:r>
      </m:oMath>
      <w:r>
        <w:rPr>
          <w:i w:val="0"/>
        </w:rPr>
        <w:t xml:space="preserve"> of positive degree. Fisher, reviewing the episode in 1998, calls it a bold, new thermodynamic hypothesis. Homogeneity in two variables leaves two free parameters, so the four thermodynamic exponents are determined by those two and the inequalities close. The relation </w:t>
      </w:r>
      <m:oMath>
        <m:r>
          <m:t>γ=β(δ−1)</m:t>
        </m:r>
      </m:oMath>
      <w:r>
        <w:rPr>
          <w:i w:val="0"/>
        </w:rPr>
        <w:t xml:space="preserve"> is the Widom relation.</w:t>
      </w:r>
    </w:p>
    <w:p>
      <w:r>
        <w:rPr>
          <w:i w:val="0"/>
        </w:rPr>
        <w:t xml:space="preserve">Two further relations arrive by other routes. Fisher's relation, </w:t>
      </w:r>
      <m:oMath>
        <m:r>
          <m:t>γ=(2−η)ν</m:t>
        </m:r>
      </m:oMath>
      <w:r>
        <w:rPr>
          <w:i w:val="0"/>
        </w:rPr>
        <w:t xml:space="preserve">, comes from the correlation function rather than from thermodynamics: with </w:t>
      </w:r>
      <m:oMath>
        <m:r>
          <m:t>G(r)~</m:t>
        </m:r>
        <m:sSup>
          <m:e>
            <m:r>
              <m:t>r</m:t>
            </m:r>
          </m:e>
          <m:sup>
            <m:r>
              <m:t>−(d−2+η)</m:t>
            </m:r>
          </m:sup>
        </m:sSup>
        <m:r>
          <m:t>g(r/ξ)</m:t>
        </m:r>
      </m:oMath>
      <w:r>
        <w:rPr>
          <w:i w:val="0"/>
        </w:rPr>
        <w:t xml:space="preserve"> and </w:t>
      </w:r>
      <m:oMath>
        <m:r>
          <m:t>χ=∫G(r)</m:t>
        </m:r>
        <m:sSup>
          <m:e>
            <m:r>
              <m:t>d</m:t>
            </m:r>
          </m:e>
          <m:sup>
            <m:r>
              <m:t>d</m:t>
            </m:r>
          </m:sup>
        </m:sSup>
        <m:r>
          <m:t>r</m:t>
        </m:r>
      </m:oMath>
      <w:r>
        <w:rPr>
          <w:i w:val="0"/>
        </w:rPr>
        <w:t xml:space="preserve">, the integral is dominated by </w:t>
      </w:r>
      <m:oMath>
        <m:r>
          <m:t>r</m:t>
        </m:r>
      </m:oMath>
      <w:r>
        <w:rPr>
          <w:i w:val="0"/>
        </w:rPr>
        <w:t xml:space="preserve"> of order </w:t>
      </w:r>
      <m:oMath>
        <m:r>
          <m:t>ξ</m:t>
        </m:r>
      </m:oMath>
      <w:r>
        <w:rPr>
          <w:i w:val="0"/>
        </w:rPr>
        <w:t xml:space="preserve"> and gives </w:t>
      </w:r>
      <m:oMath>
        <m:r>
          <m:t>χ~</m:t>
        </m:r>
        <m:sSup>
          <m:e>
            <m:r>
              <m:t>ξ</m:t>
            </m:r>
          </m:e>
          <m:sup>
            <m:r>
              <m:t>2−η</m:t>
            </m:r>
          </m:sup>
        </m:sSup>
        <m:r>
          <m:t>~|t</m:t>
        </m:r>
        <m:sSup>
          <m:e>
            <m:r>
              <m:t>|</m:t>
            </m:r>
          </m:e>
          <m:sup>
            <m:r>
              <m:t>−ν(2−η)</m:t>
            </m:r>
          </m:sup>
        </m:sSup>
      </m:oMath>
      <w:r>
        <w:rPr>
          <w:i w:val="0"/>
        </w:rPr>
        <w:t xml:space="preserve">. That relation is the only tie between the correlation exponent </w:t>
      </w:r>
      <m:oMath>
        <m:r>
          <m:t>η</m:t>
        </m:r>
      </m:oMath>
      <w:r>
        <w:rPr>
          <w:i w:val="0"/>
        </w:rPr>
        <w:t xml:space="preserve"> and the thermodynamic set. B. D. Josephson proved in 1967 the rigorous inequality </w:t>
      </w:r>
      <m:oMath>
        <m:r>
          <m:t>νd≥2−α</m:t>
        </m:r>
      </m:oMath>
      <w:r>
        <w:rPr>
          <w:i w:val="0"/>
        </w:rPr>
        <w:t xml:space="preserve">, the Josephson inequality; the corresponding equality </w:t>
      </w:r>
      <m:oMath>
        <m:r>
          <m:t>dν=2−α</m:t>
        </m:r>
      </m:oMath>
      <w:r>
        <w:rPr>
          <w:i w:val="0"/>
        </w:rPr>
        <w:t>, called hyperscaling, follows only from scaling, and is credited to Leo Philip Kadanoff and to Widom's companion paper of the same 1965 issue.</w:t>
      </w:r>
    </w:p>
    <w:p>
      <w:r>
        <w:rPr>
          <w:i w:val="0"/>
        </w:rPr>
        <w:t>None of this says why a free energy should be homogeneous. A hypothesis that reproduces every measured relation and explains none of them is exactly where a mechanism belongs.</w:t>
      </w:r>
    </w:p>
    <w:p>
      <w:pPr>
        <w:pStyle w:val="BookSection"/>
      </w:pPr>
      <w:r>
        <w:t>Kadanoff's blocks</w:t>
      </w:r>
    </w:p>
    <w:p>
      <w:r>
        <w:rPr>
          <w:i w:val="0"/>
        </w:rPr>
        <w:t xml:space="preserve">Kadanoff supplied one in 1966. Divide the lattice into cells of side </w:t>
      </w:r>
      <m:oMath>
        <m:r>
          <m:t>b</m:t>
        </m:r>
      </m:oMath>
      <w:r>
        <w:rPr>
          <w:i w:val="0"/>
        </w:rPr>
        <w:t xml:space="preserve"> lattice spacings, with </w:t>
      </w:r>
      <m:oMath>
        <m:r>
          <m:t>b</m:t>
        </m:r>
      </m:oMath>
      <w:r>
        <w:rPr>
          <w:i w:val="0"/>
        </w:rPr>
        <w:t xml:space="preserve"> large compared with the spacing and small compared with </w:t>
      </w:r>
      <m:oMath>
        <m:r>
          <m:t>ξ</m:t>
        </m:r>
      </m:oMath>
      <w:r>
        <w:rPr>
          <w:i w:val="0"/>
        </w:rPr>
        <w:t xml:space="preserve">. Use the total magnetization inside a cell as a collective variable, and replace the cell by a single spin carrying its sign; since </w:t>
      </w:r>
      <m:oMath>
        <m:r>
          <m:t>b≪ξ</m:t>
        </m:r>
      </m:oMath>
      <w:r>
        <w:rPr>
          <w:i w:val="0"/>
        </w:rPr>
        <w:t xml:space="preserve"> the spins in a cell are strongly correlated and little is discarded. Assume the block system is again an Ising model, with </w:t>
      </w:r>
      <m:oMath>
        <m:sSup>
          <m:e>
            <m:r>
              <m:t>b</m:t>
            </m:r>
          </m:e>
          <m:sup>
            <m:r>
              <m:t>−d</m:t>
            </m:r>
          </m:sup>
        </m:sSup>
      </m:oMath>
      <w:r>
        <w:rPr>
          <w:i w:val="0"/>
        </w:rPr>
        <w:t xml:space="preserve"> as many degrees of freedom and a lattice spacing </w:t>
      </w:r>
      <m:oMath>
        <m:r>
          <m:t>b</m:t>
        </m:r>
      </m:oMath>
      <w:r>
        <w:rPr>
          <w:i w:val="0"/>
        </w:rPr>
        <w:t xml:space="preserve"> times larger. Its reduced temperature and field must then be functions of the old ones, written near the critical point as </w:t>
      </w:r>
      <m:oMath>
        <m:sSup>
          <m:e>
            <m:r>
              <m:t>t</m:t>
            </m:r>
          </m:e>
          <m:sup>
            <m:r>
              <m:t>′</m:t>
            </m:r>
          </m:sup>
        </m:sSup>
        <m:r>
          <m:t>=</m:t>
        </m:r>
        <m:sSup>
          <m:e>
            <m:r>
              <m:t>b</m:t>
            </m:r>
          </m:e>
          <m:sup>
            <m:sSub>
              <m:e>
                <m:r>
                  <m:t>y</m:t>
                </m:r>
              </m:e>
              <m:sub>
                <m:r>
                  <m:t>t</m:t>
                </m:r>
              </m:sub>
            </m:sSub>
          </m:sup>
        </m:sSup>
        <m:r>
          <m:t>t</m:t>
        </m:r>
      </m:oMath>
      <w:r>
        <w:rPr>
          <w:i w:val="0"/>
        </w:rPr>
        <w:t xml:space="preserve"> and </w:t>
      </w:r>
      <m:oMath>
        <m:sSup>
          <m:e>
            <m:r>
              <m:t>h</m:t>
            </m:r>
          </m:e>
          <m:sup>
            <m:r>
              <m:t>′</m:t>
            </m:r>
          </m:sup>
        </m:sSup>
        <m:r>
          <m:t>=</m:t>
        </m:r>
        <m:sSup>
          <m:e>
            <m:r>
              <m:t>b</m:t>
            </m:r>
          </m:e>
          <m:sup>
            <m:sSub>
              <m:e>
                <m:r>
                  <m:t>y</m:t>
                </m:r>
              </m:e>
              <m:sub>
                <m:r>
                  <m:t>h</m:t>
                </m:r>
              </m:sub>
            </m:sSub>
          </m:sup>
        </m:sSup>
        <m:r>
          <m:t>h</m:t>
        </m:r>
      </m:oMath>
      <w:r>
        <w:rPr>
          <w:i w:val="0"/>
        </w:rPr>
        <w:t>, and extensivity of the singular free energy gives</w:t>
      </w:r>
    </w:p>
    <w:p>
      <w:pPr>
        <w:spacing w:before="200" w:after="200"/>
        <w:ind w:firstLine="0"/>
        <w:jc w:val="center"/>
        <w:contextualSpacing w:val="0"/>
      </w:pPr>
      <m:oMath>
        <m:sSub>
          <m:e>
            <m:r>
              <m:t>f</m:t>
            </m:r>
          </m:e>
          <m:sub>
            <m:r>
              <m:t>s</m:t>
            </m:r>
          </m:sub>
        </m:sSub>
        <m:r>
          <m:t>(t,h)=</m:t>
        </m:r>
        <m:sSup>
          <m:e>
            <m:r>
              <m:t>b</m:t>
            </m:r>
          </m:e>
          <m:sup>
            <m:r>
              <m:t>−d</m:t>
            </m:r>
          </m:sup>
        </m:sSup>
        <m:sSub>
          <m:e>
            <m:r>
              <m:t>f</m:t>
            </m:r>
          </m:e>
          <m:sub>
            <m:r>
              <m:t>s</m:t>
            </m:r>
          </m:sub>
        </m:sSub>
        <m:r>
          <m:t>(</m:t>
        </m:r>
        <m:sSup>
          <m:e>
            <m:r>
              <m:t>b</m:t>
            </m:r>
          </m:e>
          <m:sup>
            <m:sSub>
              <m:e>
                <m:r>
                  <m:t>y</m:t>
                </m:r>
              </m:e>
              <m:sub>
                <m:r>
                  <m:t>t</m:t>
                </m:r>
              </m:sub>
            </m:sSub>
          </m:sup>
        </m:sSup>
        <m:r>
          <m:t>t,</m:t>
        </m:r>
        <m:sSup>
          <m:e>
            <m:r>
              <m:t>b</m:t>
            </m:r>
          </m:e>
          <m:sup>
            <m:sSub>
              <m:e>
                <m:r>
                  <m:t>y</m:t>
                </m:r>
              </m:e>
              <m:sub>
                <m:r>
                  <m:t>h</m:t>
                </m:r>
              </m:sub>
            </m:sSub>
          </m:sup>
        </m:sSup>
        <m:r>
          <m:t>h),</m:t>
        </m:r>
      </m:oMath>
    </w:p>
    <w:p>
      <w:r>
        <w:rPr>
          <w:i w:val="0"/>
        </w:rPr>
        <w:t xml:space="preserve">which is Widom's homogeneity with a construction under it. Choosing </w:t>
      </w:r>
      <m:oMath>
        <m:r>
          <m:t>b=|t</m:t>
        </m:r>
        <m:sSup>
          <m:e>
            <m:r>
              <m:t>|</m:t>
            </m:r>
          </m:e>
          <m:sup>
            <m:r>
              <m:t>−1/</m:t>
            </m:r>
            <m:sSub>
              <m:e>
                <m:r>
                  <m:t>y</m:t>
                </m:r>
              </m:e>
              <m:sub>
                <m:r>
                  <m:t>t</m:t>
                </m:r>
              </m:sub>
            </m:sSub>
          </m:sup>
        </m:sSup>
      </m:oMath>
      <w:r>
        <w:rPr>
          <w:i w:val="0"/>
        </w:rPr>
        <w:t xml:space="preserve"> turns it into </w:t>
      </w:r>
      <m:oMath>
        <m:sSub>
          <m:e>
            <m:r>
              <m:t>f</m:t>
            </m:r>
          </m:e>
          <m:sub>
            <m:r>
              <m:t>s</m:t>
            </m:r>
          </m:sub>
        </m:sSub>
        <m:r>
          <m:t>=|t</m:t>
        </m:r>
        <m:sSup>
          <m:e>
            <m:r>
              <m:t>|</m:t>
            </m:r>
          </m:e>
          <m:sup>
            <m:f>
              <m:fPr>
                <m:type m:val="lin"/>
              </m:fPr>
              <m:num>
                <m:r>
                  <m:t>d</m:t>
                </m:r>
              </m:num>
              <m:den>
                <m:sSub>
                  <m:e>
                    <m:r>
                      <m:t>y</m:t>
                    </m:r>
                  </m:e>
                  <m:sub>
                    <m:r>
                      <m:t>t</m:t>
                    </m:r>
                  </m:sub>
                </m:sSub>
              </m:den>
            </m:f>
          </m:sup>
        </m:sSup>
        <m:r>
          <m:t>F(h/|t</m:t>
        </m:r>
        <m:sSup>
          <m:e>
            <m:r>
              <m:t>|</m:t>
            </m:r>
          </m:e>
          <m:sup>
            <m:f>
              <m:fPr>
                <m:type m:val="lin"/>
              </m:fPr>
              <m:num>
                <m:sSub>
                  <m:e>
                    <m:r>
                      <m:t>y</m:t>
                    </m:r>
                  </m:e>
                  <m:sub>
                    <m:r>
                      <m:t>h</m:t>
                    </m:r>
                  </m:sub>
                </m:sSub>
              </m:num>
              <m:den>
                <m:sSub>
                  <m:e>
                    <m:r>
                      <m:t>y</m:t>
                    </m:r>
                  </m:e>
                  <m:sub>
                    <m:r>
                      <m:t>t</m:t>
                    </m:r>
                  </m:sub>
                </m:sSub>
              </m:den>
            </m:f>
          </m:sup>
        </m:sSup>
        <m:r>
          <m:t>)</m:t>
        </m:r>
      </m:oMath>
      <w:r>
        <w:rPr>
          <w:i w:val="0"/>
        </w:rPr>
        <w:t xml:space="preserve">, and differentiating gives </w:t>
      </w:r>
      <m:oMath>
        <m:r>
          <m:t>α=2−d/</m:t>
        </m:r>
        <m:sSub>
          <m:e>
            <m:r>
              <m:t>y</m:t>
            </m:r>
          </m:e>
          <m:sub>
            <m:r>
              <m:t>t</m:t>
            </m:r>
          </m:sub>
        </m:sSub>
      </m:oMath>
      <w:r>
        <w:rPr>
          <w:i w:val="0"/>
        </w:rPr>
        <w:t xml:space="preserve">, </w:t>
      </w:r>
      <m:oMath>
        <m:r>
          <m:t>β=(d−</m:t>
        </m:r>
        <m:sSub>
          <m:e>
            <m:r>
              <m:t>y</m:t>
            </m:r>
          </m:e>
          <m:sub>
            <m:r>
              <m:t>h</m:t>
            </m:r>
          </m:sub>
        </m:sSub>
        <m:r>
          <m:t>)/</m:t>
        </m:r>
        <m:sSub>
          <m:e>
            <m:r>
              <m:t>y</m:t>
            </m:r>
          </m:e>
          <m:sub>
            <m:r>
              <m:t>t</m:t>
            </m:r>
          </m:sub>
        </m:sSub>
      </m:oMath>
      <w:r>
        <w:rPr>
          <w:i w:val="0"/>
        </w:rPr>
        <w:t xml:space="preserve"> and </w:t>
      </w:r>
      <m:oMath>
        <m:r>
          <m:t>γ=(2</m:t>
        </m:r>
        <m:sSub>
          <m:e>
            <m:r>
              <m:t>y</m:t>
            </m:r>
          </m:e>
          <m:sub>
            <m:r>
              <m:t>h</m:t>
            </m:r>
          </m:sub>
        </m:sSub>
        <m:r>
          <m:t>−d)/</m:t>
        </m:r>
        <m:sSub>
          <m:e>
            <m:r>
              <m:t>y</m:t>
            </m:r>
          </m:e>
          <m:sub>
            <m:r>
              <m:t>t</m:t>
            </m:r>
          </m:sub>
        </m:sSub>
      </m:oMath>
      <w:r>
        <w:rPr>
          <w:i w:val="0"/>
        </w:rPr>
        <w:t xml:space="preserve">, with </w:t>
      </w:r>
      <m:oMath>
        <m:r>
          <m:t>δ</m:t>
        </m:r>
      </m:oMath>
      <w:r>
        <w:rPr>
          <w:i w:val="0"/>
        </w:rPr>
        <w:t xml:space="preserve"> following from any two. Four exponents from two numbers, and </w:t>
      </w:r>
      <m:oMath>
        <m:r>
          <m:t>α+2β+γ=2</m:t>
        </m:r>
      </m:oMath>
      <w:r>
        <w:rPr>
          <w:i w:val="0"/>
        </w:rPr>
        <w:t xml:space="preserve"> identically. Kadanoff also had </w:t>
      </w:r>
      <m:oMath>
        <m:r>
          <m:t>ξ(t)=b</m:t>
        </m:r>
        <m:r>
          <m:t>ξ(</m:t>
        </m:r>
        <m:sSup>
          <m:e>
            <m:r>
              <m:t>t</m:t>
            </m:r>
          </m:e>
          <m:sup>
            <m:r>
              <m:t>′</m:t>
            </m:r>
          </m:sup>
        </m:sSup>
        <m:r>
          <m:t>)</m:t>
        </m:r>
      </m:oMath>
      <w:r>
        <w:rPr>
          <w:i w:val="0"/>
        </w:rPr>
        <w:t xml:space="preserve">, hence </w:t>
      </w:r>
      <m:oMath>
        <m:r>
          <m:t>ν=1/</m:t>
        </m:r>
        <m:sSub>
          <m:e>
            <m:r>
              <m:t>y</m:t>
            </m:r>
          </m:e>
          <m:sub>
            <m:r>
              <m:t>t</m:t>
            </m:r>
          </m:sub>
        </m:sSub>
      </m:oMath>
      <w:r>
        <w:rPr>
          <w:i w:val="0"/>
        </w:rPr>
        <w:t>, and presented the whole thing as a partial justification of Widom's conjecture.</w:t>
      </w:r>
    </w:p>
    <w:p>
      <w:r>
        <w:rPr>
          <w:i w:val="0"/>
        </w:rPr>
        <w:t xml:space="preserve">The word doing the work is "assume". Summing out the interior of a cell does not return an Ising model. It generates couplings between next-nearest blocks, four-spin couplings, and in principle every interaction the symmetry permits, so nothing grounds the description of the block system by a single nearest-neighbour </w:t>
      </w:r>
      <m:oMath>
        <m:r>
          <m:t>J</m:t>
        </m:r>
      </m:oMath>
      <w:r>
        <w:rPr>
          <w:i w:val="0"/>
        </w:rPr>
        <w:t>; and the power-law form of the rescaling factors is imposed rather than derived. Fisher, in the same 1998 review, names precisely these two as the principal difficulties in Kadanoff's picture, and Kenneth Geddes Wilson's first paper of 1971 is written to repair them.</w:t>
      </w:r>
    </w:p>
    <w:p>
      <w:pPr>
        <w:pStyle w:val="BookSection"/>
      </w:pPr>
      <w:r>
        <w:t>The flow</w:t>
      </w:r>
    </w:p>
    <w:p>
      <w:r>
        <w:rPr>
          <w:i w:val="0"/>
        </w:rPr>
        <w:t xml:space="preserve">The repair is to let the coarse-grained system be whatever it becomes. Represent a Hamiltonian by its full vector of couplings </w:t>
      </w:r>
      <m:oMath>
        <m:r>
          <m:t>𝐊=(</m:t>
        </m:r>
        <m:sSub>
          <m:e>
            <m:r>
              <m:t>K</m:t>
            </m:r>
          </m:e>
          <m:sub>
            <m:r>
              <m:t>1</m:t>
            </m:r>
          </m:sub>
        </m:sSub>
        <m:r>
          <m:t>,</m:t>
        </m:r>
        <m:sSub>
          <m:e>
            <m:r>
              <m:t>K</m:t>
            </m:r>
          </m:e>
          <m:sub>
            <m:r>
              <m:t>2</m:t>
            </m:r>
          </m:sub>
        </m:sSub>
        <m:r>
          <m:t>,</m:t>
        </m:r>
        <m:sSub>
          <m:e>
            <m:r>
              <m:t>K</m:t>
            </m:r>
          </m:e>
          <m:sub>
            <m:r>
              <m:t>3</m:t>
            </m:r>
          </m:sub>
        </m:sSub>
        <m:r>
          <m:t>,…)</m:t>
        </m:r>
      </m:oMath>
      <w:r>
        <w:rPr>
          <w:i w:val="0"/>
        </w:rPr>
        <w:t xml:space="preserve">, one entry for every interaction the symmetry allows. Coarse-graining by a factor </w:t>
      </w:r>
      <m:oMath>
        <m:r>
          <m:t>b</m:t>
        </m:r>
      </m:oMath>
      <w:r>
        <w:rPr>
          <w:i w:val="0"/>
        </w:rPr>
        <w:t xml:space="preserve"> is then a map </w:t>
      </w:r>
      <m:oMath>
        <m:sSup>
          <m:e>
            <m:r>
              <m:t>𝐊</m:t>
            </m:r>
          </m:e>
          <m:sup>
            <m:r>
              <m:t>′</m:t>
            </m:r>
          </m:sup>
        </m:sSup>
        <m:r>
          <m:t>=</m:t>
        </m:r>
        <m:sSub>
          <m:e>
            <m:r>
              <m:t>R</m:t>
            </m:r>
          </m:e>
          <m:sub>
            <m:r>
              <m:t>b</m:t>
            </m:r>
          </m:sub>
        </m:sSub>
        <m:r>
          <m:t>(𝐊)</m:t>
        </m:r>
      </m:oMath>
      <w:r>
        <w:rPr>
          <w:i w:val="0"/>
        </w:rPr>
        <w:t xml:space="preserve"> on that infinite-dimensional space, defined by summing out the short-wavelength degrees of freedom and rescaling lengths. Composition gives </w:t>
      </w:r>
      <m:oMath>
        <m:sSub>
          <m:e>
            <m:r>
              <m:t>R</m:t>
            </m:r>
          </m:e>
          <m:sub>
            <m:r>
              <m:t>b</m:t>
            </m:r>
          </m:sub>
        </m:sSub>
        <m:sSub>
          <m:e>
            <m:r>
              <m:t>R</m:t>
            </m:r>
          </m:e>
          <m:sub>
            <m:sSup>
              <m:e>
                <m:r>
                  <m:t>b</m:t>
                </m:r>
              </m:e>
              <m:sup>
                <m:r>
                  <m:t>′</m:t>
                </m:r>
              </m:sup>
            </m:sSup>
          </m:sub>
        </m:sSub>
        <m:r>
          <m:t>=</m:t>
        </m:r>
        <m:sSub>
          <m:e>
            <m:r>
              <m:t>R</m:t>
            </m:r>
          </m:e>
          <m:sub>
            <m:r>
              <m:t>b</m:t>
            </m:r>
            <m:sSup>
              <m:e>
                <m:r>
                  <m:t>b</m:t>
                </m:r>
              </m:e>
              <m:sup>
                <m:r>
                  <m:t>′</m:t>
                </m:r>
              </m:sup>
            </m:sSup>
          </m:sub>
        </m:sSub>
      </m:oMath>
      <w:r>
        <w:rPr>
          <w:i w:val="0"/>
        </w:rPr>
        <w:t>. The maps form a semigroup and not a group, because the summing out is not invertible; this is the renormalization group, misnamed and named for good.</w:t>
      </w:r>
    </w:p>
    <w:p>
      <w:r>
        <w:rPr>
          <w:i w:val="0"/>
        </w:rPr>
        <w:t xml:space="preserve">Correlation lengths measured in the new lattice spacing obey </w:t>
      </w:r>
      <m:oMath>
        <m:r>
          <m:t>ξ(</m:t>
        </m:r>
        <m:sSup>
          <m:e>
            <m:r>
              <m:t>𝐊</m:t>
            </m:r>
          </m:e>
          <m:sup>
            <m:r>
              <m:t>′</m:t>
            </m:r>
          </m:sup>
        </m:sSup>
        <m:r>
          <m:t>)=ξ(𝐊)/b</m:t>
        </m:r>
      </m:oMath>
      <w:r>
        <w:rPr>
          <w:i w:val="0"/>
        </w:rPr>
        <w:t xml:space="preserve">, so a fixed point </w:t>
      </w:r>
      <m:oMath>
        <m:sSup>
          <m:e>
            <m:r>
              <m:t>𝐊</m:t>
            </m:r>
          </m:e>
          <m:sup>
            <m:r>
              <m:t>*</m:t>
            </m:r>
          </m:sup>
        </m:sSup>
        <m:r>
          <m:t>=</m:t>
        </m:r>
        <m:sSub>
          <m:e>
            <m:r>
              <m:t>R</m:t>
            </m:r>
          </m:e>
          <m:sub>
            <m:r>
              <m:t>b</m:t>
            </m:r>
          </m:sub>
        </m:sSub>
        <m:r>
          <m:t>(</m:t>
        </m:r>
        <m:sSup>
          <m:e>
            <m:r>
              <m:t>𝐊</m:t>
            </m:r>
          </m:e>
          <m:sup>
            <m:r>
              <m:t>*</m:t>
            </m:r>
          </m:sup>
        </m:sSup>
        <m:r>
          <m:t>)</m:t>
        </m:r>
      </m:oMath>
      <w:r>
        <w:rPr>
          <w:i w:val="0"/>
        </w:rPr>
        <w:t xml:space="preserve"> has </w:t>
      </w:r>
      <m:oMath>
        <m:r>
          <m:t>ξ=0</m:t>
        </m:r>
      </m:oMath>
      <w:r>
        <w:rPr>
          <w:i w:val="0"/>
        </w:rPr>
        <w:t xml:space="preserve"> or </w:t>
      </w:r>
      <m:oMath>
        <m:r>
          <m:t>ξ=∞</m:t>
        </m:r>
      </m:oMath>
      <w:r>
        <w:rPr>
          <w:i w:val="0"/>
        </w:rPr>
        <w:t xml:space="preserve">, and the second case is a critical point. Linearize about it: with </w:t>
      </w:r>
      <m:oMath>
        <m:r>
          <m:t>𝐊=</m:t>
        </m:r>
        <m:sSup>
          <m:e>
            <m:r>
              <m:t>𝐊</m:t>
            </m:r>
          </m:e>
          <m:sup>
            <m:r>
              <m:t>*</m:t>
            </m:r>
          </m:sup>
        </m:sSup>
        <m:r>
          <m:t>+δ𝐊</m:t>
        </m:r>
      </m:oMath>
      <w:r>
        <w:rPr>
          <w:i w:val="0"/>
        </w:rPr>
        <w:t xml:space="preserve">, the deviation transforms as </w:t>
      </w:r>
      <m:oMath>
        <m:r>
          <m:t>δ</m:t>
        </m:r>
        <m:sSup>
          <m:e>
            <m:r>
              <m:t>𝐊</m:t>
            </m:r>
          </m:e>
          <m:sup>
            <m:r>
              <m:t>′</m:t>
            </m:r>
          </m:sup>
        </m:sSup>
        <m:r>
          <m:t>=</m:t>
        </m:r>
        <m:sSub>
          <m:e>
            <m:r>
              <m:t>M</m:t>
            </m:r>
          </m:e>
          <m:sub>
            <m:r>
              <m:t>b</m:t>
            </m:r>
          </m:sub>
        </m:sSub>
        <m:r>
          <m:t>δ𝐊</m:t>
        </m:r>
      </m:oMath>
      <w:r>
        <w:rPr>
          <w:i w:val="0"/>
        </w:rPr>
        <w:t xml:space="preserve">, where </w:t>
      </w:r>
      <m:oMath>
        <m:sSub>
          <m:e>
            <m:r>
              <m:t>M</m:t>
            </m:r>
          </m:e>
          <m:sub>
            <m:r>
              <m:t>b</m:t>
            </m:r>
          </m:sub>
        </m:sSub>
      </m:oMath>
      <w:r>
        <w:rPr>
          <w:i w:val="0"/>
        </w:rPr>
        <w:t xml:space="preserve"> is the matrix of derivatives of </w:t>
      </w:r>
      <m:oMath>
        <m:sSub>
          <m:e>
            <m:r>
              <m:t>R</m:t>
            </m:r>
          </m:e>
          <m:sub>
            <m:r>
              <m:t>b</m:t>
            </m:r>
          </m:sub>
        </m:sSub>
      </m:oMath>
      <w:r>
        <w:rPr>
          <w:i w:val="0"/>
        </w:rPr>
        <w:t xml:space="preserve"> at the fixed point. Let </w:t>
      </w:r>
      <m:oMath>
        <m:sSub>
          <m:e>
            <m:r>
              <m:t>Q</m:t>
            </m:r>
          </m:e>
          <m:sub>
            <m:r>
              <m:t>k</m:t>
            </m:r>
          </m:sub>
        </m:sSub>
      </m:oMath>
      <w:r>
        <w:rPr>
          <w:i w:val="0"/>
        </w:rPr>
        <w:t xml:space="preserve"> be its eigenoperators and </w:t>
      </w:r>
      <m:oMath>
        <m:sSub>
          <m:e>
            <m:r>
              <m:t>Λ</m:t>
            </m:r>
          </m:e>
          <m:sub>
            <m:r>
              <m:t>k</m:t>
            </m:r>
          </m:sub>
        </m:sSub>
        <m:r>
          <m:t>(b)</m:t>
        </m:r>
      </m:oMath>
      <w:r>
        <w:rPr>
          <w:i w:val="0"/>
        </w:rPr>
        <w:t xml:space="preserve"> its eigenvalues. The semigroup property forces </w:t>
      </w:r>
      <m:oMath>
        <m:sSub>
          <m:e>
            <m:r>
              <m:t>Λ</m:t>
            </m:r>
          </m:e>
          <m:sub>
            <m:r>
              <m:t>k</m:t>
            </m:r>
          </m:sub>
        </m:sSub>
        <m:r>
          <m:t>(b)</m:t>
        </m:r>
        <m:sSub>
          <m:e>
            <m:r>
              <m:t>Λ</m:t>
            </m:r>
          </m:e>
          <m:sub>
            <m:r>
              <m:t>k</m:t>
            </m:r>
          </m:sub>
        </m:sSub>
        <m:r>
          <m:t>(</m:t>
        </m:r>
        <m:sSup>
          <m:e>
            <m:r>
              <m:t>b</m:t>
            </m:r>
          </m:e>
          <m:sup>
            <m:r>
              <m:t>′</m:t>
            </m:r>
          </m:sup>
        </m:sSup>
        <m:r>
          <m:t>)=</m:t>
        </m:r>
        <m:sSub>
          <m:e>
            <m:r>
              <m:t>Λ</m:t>
            </m:r>
          </m:e>
          <m:sub>
            <m:r>
              <m:t>k</m:t>
            </m:r>
          </m:sub>
        </m:sSub>
        <m:r>
          <m:t>(b</m:t>
        </m:r>
        <m:sSup>
          <m:e>
            <m:r>
              <m:t>b</m:t>
            </m:r>
          </m:e>
          <m:sup>
            <m:r>
              <m:t>′</m:t>
            </m:r>
          </m:sup>
        </m:sSup>
        <m:r>
          <m:t>)</m:t>
        </m:r>
      </m:oMath>
      <w:r>
        <w:rPr>
          <w:i w:val="0"/>
        </w:rPr>
        <w:t>, whose only reasonable solution is a power,</w:t>
      </w:r>
    </w:p>
    <w:p>
      <w:pPr>
        <w:spacing w:before="200" w:after="200"/>
        <w:ind w:firstLine="0"/>
        <w:jc w:val="center"/>
        <w:contextualSpacing w:val="0"/>
      </w:pPr>
      <m:oMath>
        <m:sSub>
          <m:e>
            <m:r>
              <m:t>Λ</m:t>
            </m:r>
          </m:e>
          <m:sub>
            <m:r>
              <m:t>k</m:t>
            </m:r>
          </m:sub>
        </m:sSub>
        <m:r>
          <m:t>(b)=</m:t>
        </m:r>
        <m:sSup>
          <m:e>
            <m:r>
              <m:t>b</m:t>
            </m:r>
          </m:e>
          <m:sup>
            <m:sSub>
              <m:e>
                <m:r>
                  <m:t>λ</m:t>
                </m:r>
              </m:e>
              <m:sub>
                <m:r>
                  <m:t>k</m:t>
                </m:r>
              </m:sub>
            </m:sSub>
          </m:sup>
        </m:sSup>
        <m:r>
          <m:t>.</m:t>
        </m:r>
      </m:oMath>
    </w:p>
    <w:p>
      <w:r>
        <w:rPr>
          <w:i w:val="0"/>
        </w:rPr>
        <w:t xml:space="preserve">The power-law form Kadanoff had to assume is thus a consequence of composition. The sign of </w:t>
      </w:r>
      <m:oMath>
        <m:sSub>
          <m:e>
            <m:r>
              <m:t>λ</m:t>
            </m:r>
          </m:e>
          <m:sub>
            <m:r>
              <m:t>k</m:t>
            </m:r>
          </m:sub>
        </m:sSub>
      </m:oMath>
      <w:r>
        <w:rPr>
          <w:i w:val="0"/>
        </w:rPr>
        <w:t xml:space="preserve"> sorts the directions. A coupling with </w:t>
      </w:r>
      <m:oMath>
        <m:sSub>
          <m:e>
            <m:r>
              <m:t>λ</m:t>
            </m:r>
          </m:e>
          <m:sub>
            <m:r>
              <m:t>k</m:t>
            </m:r>
          </m:sub>
        </m:sSub>
        <m:r>
          <m:t>&gt;0</m:t>
        </m:r>
      </m:oMath>
      <w:r>
        <w:rPr>
          <w:i w:val="0"/>
        </w:rPr>
        <w:t xml:space="preserve"> grows under iteration and is relevant; one with </w:t>
      </w:r>
      <m:oMath>
        <m:sSub>
          <m:e>
            <m:r>
              <m:t>λ</m:t>
            </m:r>
          </m:e>
          <m:sub>
            <m:r>
              <m:t>k</m:t>
            </m:r>
          </m:sub>
        </m:sSub>
        <m:r>
          <m:t>&lt;0</m:t>
        </m:r>
      </m:oMath>
      <w:r>
        <w:rPr>
          <w:i w:val="0"/>
        </w:rPr>
        <w:t xml:space="preserve"> contracts geometrically toward zero and is irrelevant; </w:t>
      </w:r>
      <m:oMath>
        <m:sSub>
          <m:e>
            <m:r>
              <m:t>λ</m:t>
            </m:r>
          </m:e>
          <m:sub>
            <m:r>
              <m:t>k</m:t>
            </m:r>
          </m:sub>
        </m:sSub>
        <m:r>
          <m:t>=0</m:t>
        </m:r>
      </m:oMath>
      <w:r>
        <w:rPr>
          <w:i w:val="0"/>
        </w:rPr>
        <w:t xml:space="preserve"> is marginal. Note what irrelevance is a statement about: an eigenvalue of a linear map on couplings, and therefore a rate at which a term in the Hamiltonian loses influence over long-distance behaviour. It is not a statement that anything is unimportant in general, nor a statement about any particular configuration.</w:t>
      </w:r>
    </w:p>
    <w:p>
      <w:r>
        <w:rPr>
          <w:i w:val="0"/>
        </w:rPr>
        <w:t xml:space="preserve">Fisher writes the correspondence between eigenvalues and exponents in full. With </w:t>
      </w:r>
      <m:oMath>
        <m:sSub>
          <m:e>
            <m:r>
              <m:t>λ</m:t>
            </m:r>
          </m:e>
          <m:sub>
            <m:r>
              <m:t>1</m:t>
            </m:r>
          </m:sub>
        </m:sSub>
      </m:oMath>
      <w:r>
        <w:rPr>
          <w:i w:val="0"/>
        </w:rPr>
        <w:t xml:space="preserve"> the leading thermal eigenvalue, which is Kadanoff's </w:t>
      </w:r>
      <m:oMath>
        <m:sSub>
          <m:e>
            <m:r>
              <m:t>y</m:t>
            </m:r>
          </m:e>
          <m:sub>
            <m:r>
              <m:t>t</m:t>
            </m:r>
          </m:sub>
        </m:sSub>
      </m:oMath>
      <w:r>
        <w:rPr>
          <w:i w:val="0"/>
        </w:rPr>
        <w:t>,</w:t>
      </w:r>
    </w:p>
    <w:p>
      <w:pPr>
        <w:spacing w:before="200" w:after="200"/>
        <w:ind w:firstLine="0"/>
        <w:jc w:val="center"/>
        <w:contextualSpacing w:val="0"/>
      </w:pPr>
      <m:oMath>
        <m:r>
          <m:t>ν=</m:t>
        </m:r>
        <m:f>
          <m:fPr>
            <m:type m:val="bar"/>
          </m:fPr>
          <m:num>
            <m:r>
              <m:t>1</m:t>
            </m:r>
          </m:num>
          <m:den>
            <m:sSub>
              <m:e>
                <m:r>
                  <m:t>λ</m:t>
                </m:r>
              </m:e>
              <m:sub>
                <m:r>
                  <m:t>1</m:t>
                </m:r>
              </m:sub>
            </m:sSub>
          </m:den>
        </m:f>
        <m:r>
          <m:t>,</m:t>
        </m:r>
        <m:r>
          <m:t>2−α=</m:t>
        </m:r>
        <m:f>
          <m:fPr>
            <m:type m:val="bar"/>
          </m:fPr>
          <m:num>
            <m:r>
              <m:t>d</m:t>
            </m:r>
          </m:num>
          <m:den>
            <m:sSub>
              <m:e>
                <m:r>
                  <m:t>λ</m:t>
                </m:r>
              </m:e>
              <m:sub>
                <m:r>
                  <m:t>1</m:t>
                </m:r>
              </m:sub>
            </m:sSub>
          </m:den>
        </m:f>
        <m:r>
          <m:t>,</m:t>
        </m:r>
      </m:oMath>
    </w:p>
    <w:p>
      <w:r>
        <w:rPr>
          <w:i w:val="0"/>
        </w:rPr>
        <w:t xml:space="preserve">so </w:t>
      </w:r>
      <m:oMath>
        <m:r>
          <m:t>dν=2−α</m:t>
        </m:r>
      </m:oMath>
      <w:r>
        <w:rPr>
          <w:i w:val="0"/>
        </w:rPr>
        <w:t xml:space="preserve"> is not a hypothesis but an immediate consequence; the gap exponent is </w:t>
      </w:r>
      <m:oMath>
        <m:r>
          <m:t>Δ=</m:t>
        </m:r>
        <m:sSub>
          <m:e>
            <m:r>
              <m:t>λ</m:t>
            </m:r>
          </m:e>
          <m:sub>
            <m:r>
              <m:t>2</m:t>
            </m:r>
          </m:sub>
        </m:sSub>
        <m:r>
          <m:t>/</m:t>
        </m:r>
        <m:sSub>
          <m:e>
            <m:r>
              <m:t>λ</m:t>
            </m:r>
          </m:e>
          <m:sub>
            <m:r>
              <m:t>1</m:t>
            </m:r>
          </m:sub>
        </m:sSub>
      </m:oMath>
      <w:r>
        <w:rPr>
          <w:i w:val="0"/>
        </w:rPr>
        <w:t xml:space="preserve"> with </w:t>
      </w:r>
      <m:oMath>
        <m:sSub>
          <m:e>
            <m:r>
              <m:t>λ</m:t>
            </m:r>
          </m:e>
          <m:sub>
            <m:r>
              <m:t>2</m:t>
            </m:r>
          </m:sub>
        </m:sSub>
      </m:oMath>
      <w:r>
        <w:rPr>
          <w:i w:val="0"/>
        </w:rPr>
        <w:t xml:space="preserve"> the magnetic eigenvalue, and each further eigenvalue supplies a crossover index </w:t>
      </w:r>
      <m:oMath>
        <m:sSub>
          <m:e>
            <m:r>
              <m:t>ϕ</m:t>
            </m:r>
          </m:e>
          <m:sub>
            <m:r>
              <m:t>j</m:t>
            </m:r>
          </m:sub>
        </m:sSub>
        <m:r>
          <m:t>=</m:t>
        </m:r>
        <m:sSub>
          <m:e>
            <m:r>
              <m:t>λ</m:t>
            </m:r>
          </m:e>
          <m:sub>
            <m:r>
              <m:t>j</m:t>
            </m:r>
          </m:sub>
        </m:sSub>
        <m:r>
          <m:t>/</m:t>
        </m:r>
        <m:sSub>
          <m:e>
            <m:r>
              <m:t>λ</m:t>
            </m:r>
          </m:e>
          <m:sub>
            <m:r>
              <m:t>1</m:t>
            </m:r>
          </m:sub>
        </m:sSub>
      </m:oMath>
      <w:r>
        <w:rPr>
          <w:i w:val="0"/>
        </w:rPr>
        <w:t>.</w:t>
      </w:r>
    </w:p>
    <w:p>
      <w:r>
        <w:rPr>
          <w:i w:val="0"/>
        </w:rPr>
        <w:t>Universality is now a count. An Ising-symmetric short-range system has two relevant directions, temperature and field, so its critical surface has codimension two: tune two parameters and you are on it. Every other coupling contracts. Two Hamiltonians differing only in irrelevant couplings sit on that surface and flow to the same fixed point, and their exponents are computed at that one point, so they must agree. What does not agree is anything depending on where a system starts and how far it must travel, which is to say the critical temperature and the amplitudes of the power laws.</w:t>
      </w:r>
    </w:p>
    <w:p>
      <w:pPr>
        <w:pStyle w:val="BookSection"/>
      </w:pPr>
      <w:r>
        <w:t>Where the odd exponent lives</w:t>
      </w:r>
    </w:p>
    <w:p>
      <w:r>
        <w:rPr>
          <w:i w:val="0"/>
        </w:rPr>
        <w:t xml:space="preserve">One exponent is missing from that correspondence, and its absence is not an oversight: nothing above produces </w:t>
      </w:r>
      <m:oMath>
        <m:r>
          <m:t>η</m:t>
        </m:r>
      </m:oMath>
      <w:r>
        <w:rPr>
          <w:i w:val="0"/>
        </w:rPr>
        <w:t xml:space="preserve">, because </w:t>
      </w:r>
      <m:oMath>
        <m:r>
          <m:t>η</m:t>
        </m:r>
      </m:oMath>
      <w:r>
        <w:rPr>
          <w:i w:val="0"/>
        </w:rPr>
        <w:t xml:space="preserve"> is not an eigenvalue of </w:t>
      </w:r>
      <m:oMath>
        <m:sSub>
          <m:e>
            <m:r>
              <m:t>M</m:t>
            </m:r>
          </m:e>
          <m:sub>
            <m:r>
              <m:t>b</m:t>
            </m:r>
          </m:sub>
        </m:sSub>
      </m:oMath>
      <w:r>
        <w:rPr>
          <w:i w:val="0"/>
        </w:rPr>
        <w:t xml:space="preserve"> at all.</w:t>
      </w:r>
    </w:p>
    <w:p>
      <w:r>
        <w:rPr>
          <w:i w:val="0"/>
        </w:rPr>
        <w:t xml:space="preserve">A coarse-graining step does two things to a field. It eliminates short-wavelength modes, which is what moves </w:t>
      </w:r>
      <m:oMath>
        <m:r>
          <m:t>𝐊</m:t>
        </m:r>
      </m:oMath>
      <w:r>
        <w:rPr>
          <w:i w:val="0"/>
        </w:rPr>
        <w:t xml:space="preserve">, and it rescales lengths by </w:t>
      </w:r>
      <m:oMath>
        <m:r>
          <m:t>b</m:t>
        </m:r>
      </m:oMath>
      <w:r>
        <w:rPr>
          <w:i w:val="0"/>
        </w:rPr>
        <w:t xml:space="preserve">, which requires the surviving field to be rescaled too: </w:t>
      </w:r>
      <m:oMath>
        <m:sSup>
          <m:e>
            <m:r>
              <m:t>ϕ</m:t>
            </m:r>
          </m:e>
          <m:sup>
            <m:r>
              <m:t>′</m:t>
            </m:r>
          </m:sup>
        </m:sSup>
        <m:r>
          <m:t>(</m:t>
        </m:r>
        <m:sSup>
          <m:e>
            <m:r>
              <m:t>x</m:t>
            </m:r>
          </m:e>
          <m:sup>
            <m:r>
              <m:t>′</m:t>
            </m:r>
          </m:sup>
        </m:sSup>
        <m:r>
          <m:t>)=</m:t>
        </m:r>
        <m:sSup>
          <m:e>
            <m:r>
              <m:t>b</m:t>
            </m:r>
          </m:e>
          <m:sup>
            <m:r>
              <m:t>−ζ</m:t>
            </m:r>
          </m:sup>
        </m:sSup>
        <m:r>
          <m:t>ϕ(b</m:t>
        </m:r>
        <m:sSup>
          <m:e>
            <m:r>
              <m:t>x</m:t>
            </m:r>
          </m:e>
          <m:sup>
            <m:r>
              <m:t>′</m:t>
            </m:r>
          </m:sup>
        </m:sSup>
        <m:r>
          <m:t>)</m:t>
        </m:r>
      </m:oMath>
      <w:r>
        <w:rPr>
          <w:i w:val="0"/>
        </w:rPr>
        <w:t xml:space="preserve">. The flow on couplings does not determine </w:t>
      </w:r>
      <m:oMath>
        <m:r>
          <m:t>ζ</m:t>
        </m:r>
      </m:oMath>
      <w:r>
        <w:rPr>
          <w:i w:val="0"/>
        </w:rPr>
        <w:t xml:space="preserve">. It is fixed instead by demanding that the fixed point be genuinely fixed, so that the two-point function at </w:t>
      </w:r>
      <m:oMath>
        <m:sSup>
          <m:e>
            <m:r>
              <m:t>𝐊</m:t>
            </m:r>
          </m:e>
          <m:sup>
            <m:r>
              <m:t>*</m:t>
            </m:r>
          </m:sup>
        </m:sSup>
      </m:oMath>
      <w:r>
        <w:rPr>
          <w:i w:val="0"/>
        </w:rPr>
        <w:t xml:space="preserve"> reproduces itself, </w:t>
      </w:r>
      <m:oMath>
        <m:sSup>
          <m:e>
            <m:r>
              <m:t>G</m:t>
            </m:r>
          </m:e>
          <m:sup>
            <m:r>
              <m:t>*</m:t>
            </m:r>
          </m:sup>
        </m:sSup>
        <m:r>
          <m:t>(bx)=</m:t>
        </m:r>
        <m:sSup>
          <m:e>
            <m:r>
              <m:t>b</m:t>
            </m:r>
          </m:e>
          <m:sup>
            <m:r>
              <m:t>−2ζ</m:t>
            </m:r>
          </m:sup>
        </m:sSup>
        <m:sSup>
          <m:e>
            <m:r>
              <m:t>G</m:t>
            </m:r>
          </m:e>
          <m:sup>
            <m:r>
              <m:t>*</m:t>
            </m:r>
          </m:sup>
        </m:sSup>
        <m:r>
          <m:t>(x)</m:t>
        </m:r>
      </m:oMath>
      <w:r>
        <w:rPr>
          <w:i w:val="0"/>
        </w:rPr>
        <w:t xml:space="preserve">. The only solution is a pure power </w:t>
      </w:r>
      <m:oMath>
        <m:sSup>
          <m:e>
            <m:r>
              <m:t>G</m:t>
            </m:r>
          </m:e>
          <m:sup>
            <m:r>
              <m:t>*</m:t>
            </m:r>
          </m:sup>
        </m:sSup>
        <m:r>
          <m:t>(r)∝</m:t>
        </m:r>
        <m:sSup>
          <m:e>
            <m:r>
              <m:t>r</m:t>
            </m:r>
          </m:e>
          <m:sup>
            <m:r>
              <m:t>−2ζ</m:t>
            </m:r>
          </m:sup>
        </m:sSup>
      </m:oMath>
      <w:r>
        <w:rPr>
          <w:i w:val="0"/>
        </w:rPr>
        <w:t xml:space="preserve">, and writing </w:t>
      </w:r>
      <m:oMath>
        <m:r>
          <m:t>2ζ=d−2+η</m:t>
        </m:r>
      </m:oMath>
      <w:r>
        <w:rPr>
          <w:i w:val="0"/>
        </w:rPr>
        <w:t xml:space="preserve"> defines </w:t>
      </w:r>
      <m:oMath>
        <m:r>
          <m:t>η</m:t>
        </m:r>
      </m:oMath>
      <w:r>
        <w:rPr>
          <w:i w:val="0"/>
        </w:rPr>
        <w:t xml:space="preserve">. Free-field scaling, where the gradient term alone sets the dimension of </w:t>
      </w:r>
      <m:oMath>
        <m:r>
          <m:t>ϕ</m:t>
        </m:r>
      </m:oMath>
      <w:r>
        <w:rPr>
          <w:i w:val="0"/>
        </w:rPr>
        <w:t xml:space="preserve">, gives </w:t>
      </w:r>
      <m:oMath>
        <m:r>
          <m:t>ζ=(d−2)/2</m:t>
        </m:r>
      </m:oMath>
      <w:r>
        <w:rPr>
          <w:i w:val="0"/>
        </w:rPr>
        <w:t xml:space="preserve"> and </w:t>
      </w:r>
      <m:oMath>
        <m:r>
          <m:t>η=0</m:t>
        </m:r>
      </m:oMath>
      <w:r>
        <w:rPr>
          <w:i w:val="0"/>
        </w:rPr>
        <w:t xml:space="preserve">, so </w:t>
      </w:r>
      <m:oMath>
        <m:r>
          <m:t>η</m:t>
        </m:r>
      </m:oMath>
      <w:r>
        <w:rPr>
          <w:i w:val="0"/>
        </w:rPr>
        <w:t xml:space="preserve"> measures the departure from that value: the anomalous dimension of the field, a property of the fixed point's normalization rather than of the linearized map on couplings around it.</w:t>
      </w:r>
    </w:p>
    <w:p>
      <w:r>
        <w:rPr>
          <w:i w:val="0"/>
        </w:rPr>
        <w:t xml:space="preserve">The exponents therefore come from two places. The thermal and magnetic eigenvalues of </w:t>
      </w:r>
      <m:oMath>
        <m:sSub>
          <m:e>
            <m:r>
              <m:t>M</m:t>
            </m:r>
          </m:e>
          <m:sub>
            <m:r>
              <m:t>b</m:t>
            </m:r>
          </m:sub>
        </m:sSub>
      </m:oMath>
      <w:r>
        <w:rPr>
          <w:i w:val="0"/>
        </w:rPr>
        <w:t xml:space="preserve"> give </w:t>
      </w:r>
      <m:oMath>
        <m:r>
          <m:t>ν</m:t>
        </m:r>
      </m:oMath>
      <w:r>
        <w:rPr>
          <w:i w:val="0"/>
        </w:rPr>
        <w:t xml:space="preserve">, </w:t>
      </w:r>
      <m:oMath>
        <m:r>
          <m:t>α</m:t>
        </m:r>
      </m:oMath>
      <w:r>
        <w:rPr>
          <w:i w:val="0"/>
        </w:rPr>
        <w:t xml:space="preserve">, </w:t>
      </w:r>
      <m:oMath>
        <m:r>
          <m:t>β</m:t>
        </m:r>
      </m:oMath>
      <w:r>
        <w:rPr>
          <w:i w:val="0"/>
        </w:rPr>
        <w:t xml:space="preserve">, </w:t>
      </w:r>
      <m:oMath>
        <m:r>
          <m:t>γ</m:t>
        </m:r>
      </m:oMath>
      <w:r>
        <w:rPr>
          <w:i w:val="0"/>
        </w:rPr>
        <w:t xml:space="preserve"> and </w:t>
      </w:r>
      <m:oMath>
        <m:r>
          <m:t>δ</m:t>
        </m:r>
      </m:oMath>
      <w:r>
        <w:rPr>
          <w:i w:val="0"/>
        </w:rPr>
        <w:t xml:space="preserve">; the field rescaling at the fixed point gives </w:t>
      </w:r>
      <m:oMath>
        <m:r>
          <m:t>η</m:t>
        </m:r>
      </m:oMath>
      <w:r>
        <w:rPr>
          <w:i w:val="0"/>
        </w:rPr>
        <w:t xml:space="preserve">; and Fisher's relation </w:t>
      </w:r>
      <m:oMath>
        <m:r>
          <m:t>γ=(2−η)ν</m:t>
        </m:r>
      </m:oMath>
      <w:r>
        <w:rPr>
          <w:i w:val="0"/>
        </w:rPr>
        <w:t xml:space="preserve"> is the bridge between them, which is why it had to come from the correlation function. Franz J. Wegner added the last refinement in 1972: the higher-order terms neglected in the linearization can be absorbed by redefining the couplings as smooth nonlinear analytic functions of the physical fields, the nonlinear scaling fields, after which an exact scaling law holds. Deviations from pure power laws then follow as corrections to scaling, governed by the leading irrelevant eigenvalue, the exponent now written </w:t>
      </w:r>
      <m:oMath>
        <m:r>
          <m:t>ω</m:t>
        </m:r>
      </m:oMath>
      <w:r>
        <w:rPr>
          <w:i w:val="0"/>
        </w:rPr>
        <w:t>.</w:t>
      </w:r>
    </w:p>
    <w:p>
      <w:pPr>
        <w:pStyle w:val="BookSection"/>
      </w:pPr>
      <w:r>
        <w:t>Four minus epsilon</w:t>
      </w:r>
    </w:p>
    <w:p>
      <w:r>
        <w:rPr>
          <w:i w:val="0"/>
        </w:rPr>
        <w:t xml:space="preserve">Locating a fixed point needs an object with modes in it, and so far the book has had only Landau's polynomial in a single uniform number; coarse-graining needs a field. Let </w:t>
      </w:r>
      <m:oMath>
        <m:r>
          <m:t>ϕ(x)</m:t>
        </m:r>
      </m:oMath>
      <w:r>
        <w:rPr>
          <w:i w:val="0"/>
        </w:rPr>
        <w:t xml:space="preserve"> be the order parameter averaged over a cell large compared with the lattice spacing and small compared with </w:t>
      </w:r>
      <m:oMath>
        <m:r>
          <m:t>ξ</m:t>
        </m:r>
      </m:oMath>
      <w:r>
        <w:rPr>
          <w:i w:val="0"/>
        </w:rPr>
        <w:t xml:space="preserve">, and write the effective Hamiltonian, in units of </w:t>
      </w:r>
      <m:oMath>
        <m:sSub>
          <m:e>
            <m:r>
              <m:t>k</m:t>
            </m:r>
          </m:e>
          <m:sub>
            <m:r>
              <m:t>B</m:t>
            </m:r>
          </m:sub>
        </m:sSub>
        <m:r>
          <m:t>T</m:t>
        </m:r>
      </m:oMath>
      <w:r>
        <w:rPr>
          <w:i w:val="0"/>
        </w:rPr>
        <w:t>, as</w:t>
      </w:r>
    </w:p>
    <w:p>
      <w:pPr>
        <w:spacing w:before="200" w:after="200"/>
        <w:ind w:firstLine="0"/>
        <w:jc w:val="center"/>
        <w:contextualSpacing w:val="0"/>
      </w:pPr>
      <m:oMath>
        <m:r>
          <m:t>H[ϕ]=∫</m:t>
        </m:r>
        <m:sSup>
          <m:e>
            <m:r>
              <m:t>d</m:t>
            </m:r>
          </m:e>
          <m:sup>
            <m:r>
              <m:t>d</m:t>
            </m:r>
          </m:sup>
        </m:sSup>
        <m:r>
          <m:t>x</m:t>
        </m:r>
        <m:r>
          <m:t>[</m:t>
        </m:r>
        <m:f>
          <m:fPr>
            <m:type m:val="bar"/>
          </m:fPr>
          <m:num>
            <m:argPr>
              <m:scrLvl m:val="0"/>
            </m:argPr>
            <m:r>
              <m:t>1</m:t>
            </m:r>
          </m:num>
          <m:den>
            <m:argPr>
              <m:scrLvl m:val="0"/>
            </m:argPr>
            <m:r>
              <m:t>2</m:t>
            </m:r>
          </m:den>
        </m:f>
        <m:r>
          <m:t>(∇ϕ</m:t>
        </m:r>
        <m:sSup>
          <m:e>
            <m:r>
              <m:t>)</m:t>
            </m:r>
          </m:e>
          <m:sup>
            <m:r>
              <m:t>2</m:t>
            </m:r>
          </m:sup>
        </m:sSup>
        <m:r>
          <m:t>+</m:t>
        </m:r>
        <m:f>
          <m:fPr>
            <m:type m:val="bar"/>
          </m:fPr>
          <m:num>
            <m:argPr>
              <m:scrLvl m:val="0"/>
            </m:argPr>
            <m:r>
              <m:t>1</m:t>
            </m:r>
          </m:num>
          <m:den>
            <m:argPr>
              <m:scrLvl m:val="0"/>
            </m:argPr>
            <m:r>
              <m:t>2</m:t>
            </m:r>
          </m:den>
        </m:f>
        <m:r>
          <m:t>r</m:t>
        </m:r>
        <m:sSup>
          <m:e>
            <m:r>
              <m:t>ϕ</m:t>
            </m:r>
          </m:e>
          <m:sup>
            <m:r>
              <m:t>2</m:t>
            </m:r>
          </m:sup>
        </m:sSup>
        <m:r>
          <m:t>+u</m:t>
        </m:r>
        <m:sSup>
          <m:e>
            <m:r>
              <m:t>ϕ</m:t>
            </m:r>
          </m:e>
          <m:sup>
            <m:r>
              <m:t>4</m:t>
            </m:r>
          </m:sup>
        </m:sSup>
        <m:r>
          <m:t>],</m:t>
        </m:r>
      </m:oMath>
    </w:p>
    <w:p>
      <w:r>
        <w:rPr>
          <w:i w:val="0"/>
        </w:rPr>
        <w:t xml:space="preserve">with </w:t>
      </w:r>
      <m:oMath>
        <m:r>
          <m:t>r</m:t>
        </m:r>
      </m:oMath>
      <w:r>
        <w:rPr>
          <w:i w:val="0"/>
        </w:rPr>
        <w:t xml:space="preserve"> proportional to </w:t>
      </w:r>
      <m:oMath>
        <m:r>
          <m:t>t</m:t>
        </m:r>
      </m:oMath>
      <w:r>
        <w:rPr>
          <w:i w:val="0"/>
        </w:rPr>
        <w:t xml:space="preserve"> and changing sign at the mean-field transition. On a uniform configuration this is exactly Landau's expansion of Chapter 1, with </w:t>
      </w:r>
      <m:oMath>
        <m:r>
          <m:t>r</m:t>
        </m:r>
      </m:oMath>
      <w:r>
        <w:rPr>
          <w:i w:val="0"/>
        </w:rPr>
        <w:t xml:space="preserve"> in place of the coefficient there written </w:t>
      </w:r>
      <m:oMath>
        <m:r>
          <m:t>a(T)</m:t>
        </m:r>
      </m:oMath>
      <w:r>
        <w:rPr>
          <w:i w:val="0"/>
        </w:rPr>
        <w:t xml:space="preserve"> and </w:t>
      </w:r>
      <m:oMath>
        <m:r>
          <m:t>u</m:t>
        </m:r>
      </m:oMath>
      <w:r>
        <w:rPr>
          <w:i w:val="0"/>
        </w:rPr>
        <w:t xml:space="preserve"> in place of the quartic coefficient. The new term is the square gradient, the lowest-order penalty on non-uniformity that symmetry and rotational invariance allow, introduced in that form by John Werner Cahn and John Edward Hilliard in 1958 for a nonuniform composition field. It makes the object a functional of a configuration rather than a function of a number, and gives </w:t>
      </w:r>
      <m:oMath>
        <m:r>
          <m:t>ϕ</m:t>
        </m:r>
      </m:oMath>
      <w:r>
        <w:rPr>
          <w:i w:val="0"/>
        </w:rPr>
        <w:t xml:space="preserve"> Fourier modes to eliminate. This is the Landau-Ginzburg functional.</w:t>
      </w:r>
    </w:p>
    <w:p>
      <w:r>
        <w:rPr>
          <w:i w:val="0"/>
        </w:rPr>
        <w:t xml:space="preserve">It also shows where mean-field theory must fail: keeping only the minimizing configuration is self-consistent only if fluctuations within a correlation volume are small compared with the order parameter itself. With the Gaussian correlation function </w:t>
      </w:r>
      <m:oMath>
        <m:r>
          <m:t>G(r)~</m:t>
        </m:r>
        <m:sSup>
          <m:e>
            <m:r>
              <m:t>r</m:t>
            </m:r>
          </m:e>
          <m:sup>
            <m:r>
              <m:t>−(d−2)</m:t>
            </m:r>
          </m:sup>
        </m:sSup>
      </m:oMath>
      <w:r>
        <w:rPr>
          <w:i w:val="0"/>
        </w:rPr>
        <w:t xml:space="preserve"> cut off at </w:t>
      </w:r>
      <m:oMath>
        <m:r>
          <m:t>ξ</m:t>
        </m:r>
      </m:oMath>
      <w:r>
        <w:rPr>
          <w:i w:val="0"/>
        </w:rPr>
        <w:t xml:space="preserve">, the mean square fluctuation per correlation volume is </w:t>
      </w:r>
      <m:oMath>
        <m:sSup>
          <m:e>
            <m:r>
              <m:t>ξ</m:t>
            </m:r>
          </m:e>
          <m:sup>
            <m:r>
              <m:t>−d</m:t>
            </m:r>
          </m:sup>
        </m:sSup>
        <m:nary>
          <m:naryPr>
            <m:chr m:val="∫"/>
            <m:limLoc m:val="subSup"/>
            <m:grow m:val="1"/>
            <m:subHide m:val="off"/>
            <m:supHide m:val="on"/>
          </m:naryPr>
          <m:sub>
            <m:r>
              <m:t>r&lt;ξ</m:t>
            </m:r>
          </m:sub>
          <m:sup/>
          <m:e>
            <m:sSup>
              <m:e>
                <m:r>
                  <m:t>d</m:t>
                </m:r>
              </m:e>
              <m:sup>
                <m:r>
                  <m:t>d</m:t>
                </m:r>
              </m:sup>
            </m:sSup>
          </m:e>
        </m:nary>
        <m:r>
          <m:t>r</m:t>
        </m:r>
        <m:r>
          <m:t>G(r)~</m:t>
        </m:r>
        <m:sSup>
          <m:e>
            <m:r>
              <m:t>ξ</m:t>
            </m:r>
          </m:e>
          <m:sup>
            <m:r>
              <m:t>2−d</m:t>
            </m:r>
          </m:sup>
        </m:sSup>
      </m:oMath>
      <w:r>
        <w:rPr>
          <w:i w:val="0"/>
        </w:rPr>
        <w:t xml:space="preserve">, while the mean-field order parameter squared is of order </w:t>
      </w:r>
      <m:oMath>
        <m:d>
          <m:dPr>
            <m:begChr m:val="|"/>
            <m:sepChr m:val=""/>
            <m:endChr m:val="|"/>
          </m:dPr>
          <m:e>
            <m:r>
              <m:t>t</m:t>
            </m:r>
          </m:e>
        </m:d>
      </m:oMath>
      <w:r>
        <w:rPr>
          <w:i w:val="0"/>
        </w:rPr>
        <w:t xml:space="preserve">. With </w:t>
      </w:r>
      <m:oMath>
        <m:r>
          <m:t>ξ~|t</m:t>
        </m:r>
        <m:sSup>
          <m:e>
            <m:r>
              <m:t>|</m:t>
            </m:r>
          </m:e>
          <m:sup>
            <m:r>
              <m:t>−1/2</m:t>
            </m:r>
          </m:sup>
        </m:sSup>
      </m:oMath>
      <w:r>
        <w:rPr>
          <w:i w:val="0"/>
        </w:rPr>
        <w:t xml:space="preserve"> the ratio is </w:t>
      </w:r>
      <m:oMath>
        <m:sSup>
          <m:e>
            <m:d>
              <m:dPr>
                <m:begChr m:val="|"/>
                <m:sepChr m:val=""/>
                <m:endChr m:val="|"/>
              </m:dPr>
              <m:e/>
            </m:d>
          </m:e>
          <m:sup>
            <m:r>
              <m:t>(d−4)/2</m:t>
            </m:r>
          </m:sup>
        </m:sSup>
      </m:oMath>
      <w:r>
        <w:rPr>
          <w:i w:val="0"/>
        </w:rPr>
        <w:t xml:space="preserve">, which vanishes at the transition only for </w:t>
      </w:r>
      <m:oMath>
        <m:r>
          <m:t>d&gt;4</m:t>
        </m:r>
      </m:oMath>
      <w:r>
        <w:rPr>
          <w:i w:val="0"/>
        </w:rPr>
        <w:t xml:space="preserve">. This is the Ginzburg criterion, and four is the upper critical dimension it picks out. The statement is also a theorem: Michael Aizenman proved in 1981 that for </w:t>
      </w:r>
      <m:oMath>
        <m:r>
          <m:t>d&gt;4</m:t>
        </m:r>
      </m:oMath>
      <w:r>
        <w:rPr>
          <w:i w:val="0"/>
        </w:rPr>
        <w:t xml:space="preserve"> the continuum limit of the quartic field theory is Gaussian and Ising models show mean-field critical behaviour.</w:t>
      </w:r>
    </w:p>
    <w:p>
      <w:r>
        <w:rPr>
          <w:i w:val="0"/>
        </w:rPr>
        <w:t xml:space="preserve">Now the modes can be eliminated. Split the Fourier components of </w:t>
      </w:r>
      <m:oMath>
        <m:r>
          <m:t>ϕ</m:t>
        </m:r>
      </m:oMath>
      <w:r>
        <w:rPr>
          <w:i w:val="0"/>
        </w:rPr>
        <w:t xml:space="preserve"> at </w:t>
      </w:r>
      <m:oMath>
        <m:f>
          <m:fPr>
            <m:type m:val="lin"/>
          </m:fPr>
          <m:num>
            <m:r>
              <m:t>Λ</m:t>
            </m:r>
          </m:num>
          <m:den>
            <m:r>
              <m:t>b</m:t>
            </m:r>
          </m:den>
        </m:f>
      </m:oMath>
      <w:r>
        <w:rPr>
          <w:i w:val="0"/>
        </w:rPr>
        <w:t xml:space="preserve">, integrate out the shell </w:t>
      </w:r>
      <m:oMath>
        <m:r>
          <m:t>Λ/b≤|q|≤Λ</m:t>
        </m:r>
      </m:oMath>
      <w:r>
        <w:rPr>
          <w:i w:val="0"/>
        </w:rPr>
        <w:t xml:space="preserve">, rescale, iterate; this is the procedure Wilson and John Kogut set out in 1974. Wilson's second paper of 1971 had done it octave by octave with </w:t>
      </w:r>
      <m:oMath>
        <m:r>
          <m:t>b=2</m:t>
        </m:r>
      </m:oMath>
      <w:r>
        <w:rPr>
          <w:i w:val="0"/>
        </w:rPr>
        <w:t xml:space="preserve">, producing a nonlinear integral recursion for effective potentials which, solved numerically, gave a three-dimensional </w:t>
      </w:r>
      <m:oMath>
        <m:r>
          <m:t>ν</m:t>
        </m:r>
      </m:oMath>
      <w:r>
        <w:rPr>
          <w:i w:val="0"/>
        </w:rPr>
        <w:t xml:space="preserve"> clearly different from </w:t>
      </w:r>
      <m:oMath>
        <m:f>
          <m:fPr>
            <m:type m:val="lin"/>
          </m:fPr>
          <m:num>
            <m:r>
              <m:t>1</m:t>
            </m:r>
          </m:num>
          <m:den>
            <m:r>
              <m:t>2</m:t>
            </m:r>
          </m:den>
        </m:f>
      </m:oMath>
      <w:r>
        <w:rPr>
          <w:i w:val="0"/>
        </w:rPr>
        <w:t xml:space="preserve">. Either way, tracking </w:t>
      </w:r>
      <m:oMath>
        <m:r>
          <m:t>u</m:t>
        </m:r>
      </m:oMath>
      <w:r>
        <w:rPr>
          <w:i w:val="0"/>
        </w:rPr>
        <w:t xml:space="preserve"> through one step gives a flow whose structure is fixed by dimensional analysis and one loop of perturbation theory,</w:t>
      </w:r>
    </w:p>
    <w:p>
      <w:pPr>
        <w:spacing w:before="200" w:after="200"/>
        <w:ind w:firstLine="0"/>
        <w:jc w:val="center"/>
        <w:contextualSpacing w:val="0"/>
      </w:pPr>
      <m:oMath>
        <m:f>
          <m:fPr>
            <m:type m:val="bar"/>
          </m:fPr>
          <m:num>
            <m:r>
              <m:t>du</m:t>
            </m:r>
          </m:num>
          <m:den>
            <m:r>
              <m:t>dℓ</m:t>
            </m:r>
          </m:den>
        </m:f>
        <m:r>
          <m:t>=ϵ</m:t>
        </m:r>
        <m:r>
          <m:t>u−</m:t>
        </m:r>
        <m:sSub>
          <m:e>
            <m:r>
              <m:t>C</m:t>
            </m:r>
          </m:e>
          <m:sub>
            <m:r>
              <m:t>n</m:t>
            </m:r>
          </m:sub>
        </m:sSub>
        <m:sSup>
          <m:e>
            <m:r>
              <m:t>u</m:t>
            </m:r>
          </m:e>
          <m:sup>
            <m:r>
              <m:t>2</m:t>
            </m:r>
          </m:sup>
        </m:sSup>
        <m:r>
          <m:t>+O(</m:t>
        </m:r>
        <m:sSup>
          <m:e>
            <m:r>
              <m:t>u</m:t>
            </m:r>
          </m:e>
          <m:sup>
            <m:r>
              <m:t>3</m:t>
            </m:r>
          </m:sup>
        </m:sSup>
        <m:r>
          <m:t>),</m:t>
        </m:r>
        <m:r>
          <m:t>ϵ=4−d,</m:t>
        </m:r>
      </m:oMath>
    </w:p>
    <w:p>
      <w:r>
        <w:rPr>
          <w:i w:val="0"/>
        </w:rPr>
        <w:t xml:space="preserve">with </w:t>
      </w:r>
      <m:oMath>
        <m:sSub>
          <m:e>
            <m:r>
              <m:t>C</m:t>
            </m:r>
          </m:e>
          <m:sub>
            <m:r>
              <m:t>n</m:t>
            </m:r>
          </m:sub>
        </m:sSub>
      </m:oMath>
      <w:r>
        <w:rPr>
          <w:i w:val="0"/>
        </w:rPr>
        <w:t xml:space="preserve"> positive and, for an </w:t>
      </w:r>
      <m:oMath>
        <m:r>
          <m:t>n</m:t>
        </m:r>
      </m:oMath>
      <w:r>
        <w:rPr>
          <w:i w:val="0"/>
        </w:rPr>
        <w:t xml:space="preserve">-component order parameter, proportional to </w:t>
      </w:r>
      <m:oMath>
        <m:r>
          <m:t>n+8</m:t>
        </m:r>
      </m:oMath>
      <w:r>
        <w:rPr>
          <w:i w:val="0"/>
        </w:rPr>
        <w:t xml:space="preserve">. Above four dimensions </w:t>
      </w:r>
      <m:oMath>
        <m:r>
          <m:t>ϵ&lt;0</m:t>
        </m:r>
      </m:oMath>
      <w:r>
        <w:rPr>
          <w:i w:val="0"/>
        </w:rPr>
        <w:t xml:space="preserve">, the only fixed point is </w:t>
      </w:r>
      <m:oMath>
        <m:sSup>
          <m:e>
            <m:r>
              <m:t>u</m:t>
            </m:r>
          </m:e>
          <m:sup>
            <m:r>
              <m:t>*</m:t>
            </m:r>
          </m:sup>
        </m:sSup>
        <m:r>
          <m:t>=0</m:t>
        </m:r>
      </m:oMath>
      <w:r>
        <w:rPr>
          <w:i w:val="0"/>
        </w:rPr>
        <w:t xml:space="preserve">, and mean-field exponents are exact, in agreement with the Ginzburg estimate. Below four dimensions the Gaussian fixed point turns unstable in the </w:t>
      </w:r>
      <m:oMath>
        <m:r>
          <m:t>u</m:t>
        </m:r>
      </m:oMath>
      <w:r>
        <w:rPr>
          <w:i w:val="0"/>
        </w:rPr>
        <w:t xml:space="preserve"> direction, with eigenvalue </w:t>
      </w:r>
      <m:oMath>
        <m:r>
          <m:t>+ϵ</m:t>
        </m:r>
      </m:oMath>
      <w:r>
        <w:rPr>
          <w:i w:val="0"/>
        </w:rPr>
        <w:t xml:space="preserve">, and a second fixed point appears at </w:t>
      </w:r>
      <m:oMath>
        <m:sSup>
          <m:e>
            <m:r>
              <m:t>u</m:t>
            </m:r>
          </m:e>
          <m:sup>
            <m:r>
              <m:t>*</m:t>
            </m:r>
          </m:sup>
        </m:sSup>
        <m:r>
          <m:t>=ϵ/</m:t>
        </m:r>
        <m:sSub>
          <m:e>
            <m:r>
              <m:t>C</m:t>
            </m:r>
          </m:e>
          <m:sub>
            <m:r>
              <m:t>n</m:t>
            </m:r>
          </m:sub>
        </m:sSub>
      </m:oMath>
      <w:r>
        <w:rPr>
          <w:i w:val="0"/>
        </w:rPr>
        <w:t xml:space="preserve">, where the eigenvalue is </w:t>
      </w:r>
      <m:oMath>
        <m:r>
          <m:t>−ϵ</m:t>
        </m:r>
      </m:oMath>
      <w:r>
        <w:rPr>
          <w:i w:val="0"/>
        </w:rPr>
        <w:t xml:space="preserve">. This is the Wilson-Fisher fixed point, and it inherits the flow that leaves the Gaussian one. Because </w:t>
      </w:r>
      <m:oMath>
        <m:sSup>
          <m:e>
            <m:r>
              <m:t>u</m:t>
            </m:r>
          </m:e>
          <m:sup>
            <m:r>
              <m:t>*</m:t>
            </m:r>
          </m:sup>
        </m:sSup>
      </m:oMath>
      <w:r>
        <w:rPr>
          <w:i w:val="0"/>
        </w:rPr>
        <w:t xml:space="preserve"> is of order </w:t>
      </w:r>
      <m:oMath>
        <m:r>
          <m:t>ϵ</m:t>
        </m:r>
      </m:oMath>
      <w:r>
        <w:rPr>
          <w:i w:val="0"/>
        </w:rPr>
        <w:t xml:space="preserve">, perturbation theory around it is controlled when </w:t>
      </w:r>
      <m:oMath>
        <m:r>
          <m:t>ϵ</m:t>
        </m:r>
      </m:oMath>
      <w:r>
        <w:rPr>
          <w:i w:val="0"/>
        </w:rPr>
        <w:t xml:space="preserve"> is small. Treating </w:t>
      </w:r>
      <m:oMath>
        <m:r>
          <m:t>4−d</m:t>
        </m:r>
      </m:oMath>
      <w:r>
        <w:rPr>
          <w:i w:val="0"/>
        </w:rPr>
        <w:t xml:space="preserve"> as small at all is legitimate, as Fisher proposed and the paper with Wilson of January 1972 carried out, because </w:t>
      </w:r>
      <m:oMath>
        <m:r>
          <m:t>d</m:t>
        </m:r>
      </m:oMath>
      <w:r>
        <w:rPr>
          <w:i w:val="0"/>
        </w:rPr>
        <w:t xml:space="preserve"> enters the recursion relations only through the analytic factors </w:t>
      </w:r>
      <m:oMath>
        <m:sSup>
          <m:e>
            <m:r>
              <m:t>b</m:t>
            </m:r>
          </m:e>
          <m:sup>
            <m:r>
              <m:t>4−d</m:t>
            </m:r>
          </m:sup>
        </m:sSup>
      </m:oMath>
      <w:r>
        <w:rPr>
          <w:i w:val="0"/>
        </w:rPr>
        <w:t xml:space="preserve"> and </w:t>
      </w:r>
      <m:oMath>
        <m:sSub>
          <m:e>
            <m:r>
              <m:t>S</m:t>
            </m:r>
          </m:e>
          <m:sub>
            <m:r>
              <m:t>d</m:t>
            </m:r>
          </m:sub>
        </m:sSub>
        <m:r>
          <m:t>=2</m:t>
        </m:r>
        <m:sSup>
          <m:e>
            <m:r>
              <m:t>π</m:t>
            </m:r>
          </m:e>
          <m:sup>
            <m:f>
              <m:fPr>
                <m:type m:val="lin"/>
              </m:fPr>
              <m:num>
                <m:r>
                  <m:t>d</m:t>
                </m:r>
              </m:num>
              <m:den>
                <m:r>
                  <m:t>2</m:t>
                </m:r>
              </m:den>
            </m:f>
          </m:sup>
        </m:sSup>
        <m:r>
          <m:t>/[Γ(d/2)(2π</m:t>
        </m:r>
        <m:sSup>
          <m:e>
            <m:r>
              <m:t>)</m:t>
            </m:r>
          </m:e>
          <m:sup>
            <m:r>
              <m:t>d</m:t>
            </m:r>
          </m:sup>
        </m:sSup>
        <m:r>
          <m:t>]</m:t>
        </m:r>
      </m:oMath>
      <w:r>
        <w:rPr>
          <w:i w:val="0"/>
        </w:rPr>
        <w:t>, and never through a lattice. One loop gives</w:t>
      </w:r>
    </w:p>
    <w:p>
      <w:pPr>
        <w:spacing w:before="200" w:after="200"/>
        <w:ind w:firstLine="0"/>
        <w:jc w:val="center"/>
        <w:contextualSpacing w:val="0"/>
      </w:pPr>
      <m:oMath>
        <m:sSup>
          <m:e>
            <m:r>
              <m:t>ν</m:t>
            </m:r>
          </m:e>
          <m:sup>
            <m:r>
              <m:t>−1</m:t>
            </m:r>
          </m:sup>
        </m:sSup>
        <m:r>
          <m:t>=2−</m:t>
        </m:r>
        <m:f>
          <m:fPr>
            <m:type m:val="bar"/>
          </m:fPr>
          <m:num>
            <m:r>
              <m:t>n+2</m:t>
            </m:r>
          </m:num>
          <m:den>
            <m:r>
              <m:t>n+8</m:t>
            </m:r>
          </m:den>
        </m:f>
        <m:r>
          <m:t>ϵ+O(</m:t>
        </m:r>
        <m:sSup>
          <m:e>
            <m:r>
              <m:t>ϵ</m:t>
            </m:r>
          </m:e>
          <m:sup>
            <m:r>
              <m:t>2</m:t>
            </m:r>
          </m:sup>
        </m:sSup>
        <m:r>
          <m:t>),</m:t>
        </m:r>
        <m:r>
          <m:t>η=</m:t>
        </m:r>
        <m:f>
          <m:fPr>
            <m:type m:val="bar"/>
          </m:fPr>
          <m:num>
            <m:r>
              <m:t>(n+2)</m:t>
            </m:r>
            <m:sSup>
              <m:e>
                <m:r>
                  <m:t>ϵ</m:t>
                </m:r>
              </m:e>
              <m:sup>
                <m:r>
                  <m:t>2</m:t>
                </m:r>
              </m:sup>
            </m:sSup>
          </m:num>
          <m:den>
            <m:r>
              <m:t>2(n+8</m:t>
            </m:r>
            <m:sSup>
              <m:e>
                <m:r>
                  <m:t>)</m:t>
                </m:r>
              </m:e>
              <m:sup>
                <m:r>
                  <m:t>2</m:t>
                </m:r>
              </m:sup>
            </m:sSup>
          </m:den>
        </m:f>
        <m:r>
          <m:t>+O(</m:t>
        </m:r>
        <m:sSup>
          <m:e>
            <m:r>
              <m:t>ϵ</m:t>
            </m:r>
          </m:e>
          <m:sup>
            <m:r>
              <m:t>3</m:t>
            </m:r>
          </m:sup>
        </m:sSup>
        <m:r>
          <m:t>),</m:t>
        </m:r>
      </m:oMath>
    </w:p>
    <w:p>
      <w:r>
        <w:rPr>
          <w:i w:val="0"/>
        </w:rPr>
        <w:t xml:space="preserve">which at </w:t>
      </w:r>
      <m:oMath>
        <m:r>
          <m:t>n=1</m:t>
        </m:r>
      </m:oMath>
      <w:r>
        <w:rPr>
          <w:i w:val="0"/>
        </w:rPr>
        <w:t xml:space="preserve"> is </w:t>
      </w:r>
      <m:oMath>
        <m:r>
          <m:t>ν=</m:t>
        </m:r>
        <m:f>
          <m:fPr>
            <m:type m:val="bar"/>
          </m:fPr>
          <m:num>
            <m:argPr>
              <m:scrLvl m:val="0"/>
            </m:argPr>
            <m:r>
              <m:t>1</m:t>
            </m:r>
          </m:num>
          <m:den>
            <m:argPr>
              <m:scrLvl m:val="0"/>
            </m:argPr>
            <m:r>
              <m:t>2</m:t>
            </m:r>
          </m:den>
        </m:f>
        <m:r>
          <m:t>+ϵ/12</m:t>
        </m:r>
      </m:oMath>
      <w:r>
        <w:rPr>
          <w:i w:val="0"/>
        </w:rPr>
        <w:t xml:space="preserve">, with </w:t>
      </w:r>
      <m:oMath>
        <m:r>
          <m:t>η</m:t>
        </m:r>
      </m:oMath>
      <w:r>
        <w:rPr>
          <w:i w:val="0"/>
        </w:rPr>
        <w:t xml:space="preserve"> vanishing at this order as it must, since </w:t>
      </w:r>
      <m:oMath>
        <m:r>
          <m:t>η</m:t>
        </m:r>
      </m:oMath>
      <w:r>
        <w:rPr>
          <w:i w:val="0"/>
        </w:rPr>
        <w:t xml:space="preserve"> measures how far the fixed point sits from free-field scaling and the fixed point is only of order </w:t>
      </w:r>
      <m:oMath>
        <m:r>
          <m:t>ϵ</m:t>
        </m:r>
      </m:oMath>
      <w:r>
        <w:rPr>
          <w:i w:val="0"/>
        </w:rPr>
        <w:t xml:space="preserve"> away. Setting </w:t>
      </w:r>
      <m:oMath>
        <m:r>
          <m:t>ϵ=1</m:t>
        </m:r>
      </m:oMath>
      <w:r>
        <w:rPr>
          <w:i w:val="0"/>
        </w:rPr>
        <w:t xml:space="preserve"> to reach three dimensions is of course a liberty, and the raw one-loop </w:t>
      </w:r>
      <m:oMath>
        <m:r>
          <m:t>ν=0.583</m:t>
        </m:r>
      </m:oMath>
      <w:r>
        <w:rPr>
          <w:i w:val="0"/>
        </w:rPr>
        <w:t xml:space="preserve"> is about seven per cent below the modern value. The series is asymptotic rather than convergent, as Andrea Pelissetto and Ettore Vicari's review sets out, so usable numbers require Borel-type resummation.</w:t>
      </w:r>
    </w:p>
    <w:p>
      <w:pPr>
        <w:pStyle w:val="BookSection"/>
      </w:pPr>
      <w:r>
        <w:t>What the class is a class of, and what Guggenheim measured</w:t>
      </w:r>
    </w:p>
    <w:p>
      <w:r>
        <w:rPr>
          <w:i w:val="0"/>
        </w:rPr>
        <w:t xml:space="preserve">Fisher's 1974 review sets out what indexes a class: the exponents depend on the dimensionality </w:t>
      </w:r>
      <m:oMath>
        <m:r>
          <m:t>d</m:t>
        </m:r>
      </m:oMath>
      <w:r>
        <w:rPr>
          <w:i w:val="0"/>
        </w:rPr>
        <w:t xml:space="preserve">, on the number of components </w:t>
      </w:r>
      <m:oMath>
        <m:r>
          <m:t>n</m:t>
        </m:r>
      </m:oMath>
      <w:r>
        <w:rPr>
          <w:i w:val="0"/>
        </w:rPr>
        <w:t xml:space="preserve"> of the order parameter, and on the range and the anisotropy of the interactions. They do not depend on the lattice, on the strength of </w:t>
      </w:r>
      <m:oMath>
        <m:r>
          <m:t>J</m:t>
        </m:r>
      </m:oMath>
      <w:r>
        <w:rPr>
          <w:i w:val="0"/>
        </w:rPr>
        <w:t>, or on whether the microscopic variable is a spin or a density, since those enter only through couplings that contract. What is shared extends past the exponents to the scaling functions and to ratios of amplitudes.</w:t>
      </w:r>
    </w:p>
    <w:p>
      <w:r>
        <w:rPr>
          <w:i w:val="0"/>
        </w:rPr>
        <w:t>The numbers for the three-dimensional Ising class now come from two directions that share no machinery. Martin Hasenbusch obtained, from finite-size scaling of the spin-</w:t>
      </w:r>
      <m:oMath>
        <m:f>
          <m:fPr>
            <m:type m:val="lin"/>
          </m:fPr>
          <m:num>
            <m:r>
              <m:t>1</m:t>
            </m:r>
          </m:num>
          <m:den>
            <m:r>
              <m:t>2</m:t>
            </m:r>
          </m:den>
        </m:f>
      </m:oMath>
      <w:r>
        <w:rPr>
          <w:i w:val="0"/>
        </w:rPr>
        <w:t xml:space="preserve"> Ising and Blume-Capel models on the simple cubic lattice with linear sizes up to </w:t>
      </w:r>
      <m:oMath>
        <m:r>
          <m:t>360</m:t>
        </m:r>
      </m:oMath>
      <w:r>
        <w:rPr>
          <w:i w:val="0"/>
        </w:rPr>
        <w:t xml:space="preserve">, </w:t>
      </w:r>
      <m:oMath>
        <m:r>
          <m:t>ν=0.63002(10)</m:t>
        </m:r>
      </m:oMath>
      <w:r>
        <w:rPr>
          <w:i w:val="0"/>
        </w:rPr>
        <w:t xml:space="preserve">, </w:t>
      </w:r>
      <m:oMath>
        <m:r>
          <m:t>η=0.03627(10)</m:t>
        </m:r>
      </m:oMath>
      <w:r>
        <w:rPr>
          <w:i w:val="0"/>
        </w:rPr>
        <w:t xml:space="preserve"> and </w:t>
      </w:r>
      <m:oMath>
        <m:r>
          <m:t>ω=0.832(6)</m:t>
        </m:r>
      </m:oMath>
      <w:r>
        <w:rPr>
          <w:i w:val="0"/>
        </w:rPr>
        <w:t xml:space="preserve">. The conformal bootstrap constrains the operator spectrum of the critical theory by consistency conditions alone, simulating nothing. Sheer El-Showk, Miguel F. Paulos, David Poland, Slava Rychkov, David Simmons-Duffin and Alessandro Vichi found a sharp transition in that spectrum at </w:t>
      </w:r>
      <m:oMath>
        <m:sSub>
          <m:e>
            <m:r>
              <m:t>Δ</m:t>
            </m:r>
          </m:e>
          <m:sub>
            <m:r>
              <m:t>σ</m:t>
            </m:r>
          </m:sub>
        </m:sSub>
        <m:r>
          <m:t>=0.518154(15)</m:t>
        </m:r>
      </m:oMath>
      <w:r>
        <w:rPr>
          <w:i w:val="0"/>
        </w:rPr>
        <w:t xml:space="preserve"> and </w:t>
      </w:r>
      <m:oMath>
        <m:sSub>
          <m:e>
            <m:r>
              <m:t>Δ</m:t>
            </m:r>
          </m:e>
          <m:sub>
            <m:r>
              <m:t>ϵ</m:t>
            </m:r>
          </m:sub>
        </m:sSub>
        <m:r>
          <m:t>=1.41267(13)</m:t>
        </m:r>
      </m:oMath>
      <w:r>
        <w:rPr>
          <w:i w:val="0"/>
        </w:rPr>
        <w:t xml:space="preserve">; converting through </w:t>
      </w:r>
      <m:oMath>
        <m:sSub>
          <m:e>
            <m:r>
              <m:t>Δ</m:t>
            </m:r>
          </m:e>
          <m:sub>
            <m:r>
              <m:t>σ</m:t>
            </m:r>
          </m:sub>
        </m:sSub>
        <m:r>
          <m:t>=</m:t>
        </m:r>
        <m:f>
          <m:fPr>
            <m:type m:val="bar"/>
          </m:fPr>
          <m:num>
            <m:argPr>
              <m:scrLvl m:val="0"/>
            </m:argPr>
            <m:r>
              <m:t>1</m:t>
            </m:r>
          </m:num>
          <m:den>
            <m:argPr>
              <m:scrLvl m:val="0"/>
            </m:argPr>
            <m:r>
              <m:t>2</m:t>
            </m:r>
          </m:den>
        </m:f>
        <m:r>
          <m:t>+η/2</m:t>
        </m:r>
      </m:oMath>
      <w:r>
        <w:rPr>
          <w:i w:val="0"/>
        </w:rPr>
        <w:t xml:space="preserve"> and </w:t>
      </w:r>
      <m:oMath>
        <m:sSub>
          <m:e>
            <m:r>
              <m:t>Δ</m:t>
            </m:r>
          </m:e>
          <m:sub>
            <m:r>
              <m:t>ϵ</m:t>
            </m:r>
          </m:sub>
        </m:sSub>
        <m:r>
          <m:t>=3−1/ν</m:t>
        </m:r>
      </m:oMath>
      <w:r>
        <w:rPr>
          <w:i w:val="0"/>
        </w:rPr>
        <w:t xml:space="preserve"> gives </w:t>
      </w:r>
      <m:oMath>
        <m:r>
          <m:t>ν=0.62999(5)</m:t>
        </m:r>
      </m:oMath>
      <w:r>
        <w:rPr>
          <w:i w:val="0"/>
        </w:rPr>
        <w:t xml:space="preserve"> and </w:t>
      </w:r>
      <m:oMath>
        <m:r>
          <m:t>η=0.03631(3)</m:t>
        </m:r>
      </m:oMath>
      <w:r>
        <w:rPr>
          <w:i w:val="0"/>
        </w:rPr>
        <w:t xml:space="preserve">, a factor of two to three more precise, the paper notes, than the Monte Carlo results. The two sets agree within their quoted uncertainties: the central values of </w:t>
      </w:r>
      <m:oMath>
        <m:r>
          <m:t>ν</m:t>
        </m:r>
      </m:oMath>
      <w:r>
        <w:rPr>
          <w:i w:val="0"/>
        </w:rPr>
        <w:t xml:space="preserve"> and </w:t>
      </w:r>
      <m:oMath>
        <m:r>
          <m:t>η</m:t>
        </m:r>
      </m:oMath>
      <w:r>
        <w:rPr>
          <w:i w:val="0"/>
        </w:rPr>
        <w:t xml:space="preserve"> differ by three and by four units in the fifth decimal place, inside the Monte Carlo error bars.</w:t>
      </w:r>
    </w:p>
    <w:p>
      <w:r>
        <w:rPr>
          <w:i w:val="0"/>
        </w:rPr>
        <w:t xml:space="preserve">Which returns us to the curve this chapter opened on. Guggenheim's eight fluids share three dimensions, a one-component order parameter and short-range forces, so they share a fixed point, and dividing by critical parameters removes exactly the non-universal amplitudes that distinguish them. The exponent of the shared curve is </w:t>
      </w:r>
      <m:oMath>
        <m:r>
          <m:t>β</m:t>
        </m:r>
      </m:oMath>
      <w:r>
        <w:rPr>
          <w:i w:val="0"/>
        </w:rPr>
        <w:t xml:space="preserve">, which follows from the two numbers just quoted through the standard relation </w:t>
      </w:r>
      <m:oMath>
        <m:r>
          <m:t>β=ν(d−2+η)/2</m:t>
        </m:r>
      </m:oMath>
      <w:r>
        <w:rPr>
          <w:i w:val="0"/>
        </w:rPr>
        <w:t xml:space="preserve"> and comes to </w:t>
      </w:r>
      <m:oMath>
        <m:r>
          <m:t>0.3264</m:t>
        </m:r>
      </m:oMath>
      <w:r>
        <w:rPr>
          <w:i w:val="0"/>
        </w:rPr>
        <w:t xml:space="preserve">. Guggenheim fitted </w:t>
      </w:r>
      <m:oMath>
        <m:f>
          <m:fPr>
            <m:type m:val="lin"/>
          </m:fPr>
          <m:num>
            <m:r>
              <m:t>1</m:t>
            </m:r>
          </m:num>
          <m:den>
            <m:r>
              <m:t>3</m:t>
            </m:r>
          </m:den>
        </m:f>
      </m:oMath>
      <w:r>
        <w:rPr>
          <w:i w:val="0"/>
        </w:rPr>
        <w:t xml:space="preserve">. The gap of two per cent is the kind a fit over a finite window of reduced temperature returns: the correction to scaling governed by </w:t>
      </w:r>
      <m:oMath>
        <m:r>
          <m:t>ω≈0.83</m:t>
        </m:r>
      </m:oMath>
      <w:r>
        <w:rPr>
          <w:i w:val="0"/>
        </w:rPr>
        <w:t xml:space="preserve"> has not died away at the temperatures coexistence data cover, so such a fit measures an effective exponent, not the asymptotic one. The half of that result which was exactly right is the half mean-field theory could not survive: </w:t>
      </w:r>
      <m:oMath>
        <m:r>
          <m:t>0.3264</m:t>
        </m:r>
      </m:oMath>
      <w:r>
        <w:rPr>
          <w:i w:val="0"/>
        </w:rPr>
        <w:t xml:space="preserve"> is not </w:t>
      </w:r>
      <m:oMath>
        <m:f>
          <m:fPr>
            <m:type m:val="lin"/>
          </m:fPr>
          <m:num>
            <m:r>
              <m:t>1</m:t>
            </m:r>
          </m:num>
          <m:den>
            <m:r>
              <m:t>2</m:t>
            </m:r>
          </m:den>
        </m:f>
      </m:oMath>
      <w:r>
        <w:rPr>
          <w:i w:val="0"/>
        </w:rPr>
        <w:t xml:space="preserve">, and the reason is that in three dimensions the flow leaves the Gaussian fixed point, where the classical exponents live, for the Wilson-Fisher fixed point, where they do not. Yang's </w:t>
      </w:r>
      <m:oMath>
        <m:f>
          <m:fPr>
            <m:type m:val="lin"/>
          </m:fPr>
          <m:num>
            <m:r>
              <m:t>1</m:t>
            </m:r>
          </m:num>
          <m:den>
            <m:r>
              <m:t>8</m:t>
            </m:r>
          </m:den>
        </m:f>
      </m:oMath>
      <w:r>
        <w:rPr>
          <w:i w:val="0"/>
        </w:rPr>
        <w:t xml:space="preserve"> needed no reconciling with either, since </w:t>
      </w:r>
      <m:oMath>
        <m:r>
          <m:t>d</m:t>
        </m:r>
      </m:oMath>
      <w:r>
        <w:rPr>
          <w:i w:val="0"/>
        </w:rPr>
        <w:t xml:space="preserve"> is not a coupling and does not flow.</w:t>
      </w:r>
    </w:p>
    <w:p>
      <w:r>
        <w:rPr>
          <w:i w:val="0"/>
        </w:rPr>
        <w:t>The 1982 Nobel Prize in Physics went to Wilson alone, for his theory for critical phenomena in connection with phase transitions. Fisher and Kadanoff, whose work the construction rests on, did not share it, though the three had jointly received the Wolf Prize in Physics in 1980.</w:t>
      </w:r>
    </w:p>
    <w:p>
      <w:pPr>
        <w:pStyle w:val="BookSection"/>
      </w:pPr>
      <w:r>
        <w:t>Coarse-graining and its analogue</w:t>
      </w:r>
    </w:p>
    <w:p>
      <w:r>
        <w:rPr>
          <w:i w:val="0"/>
        </w:rPr>
        <w:t>The renormalization group is a machine for discarding, and it is worth being exact about what it discards and by what rule. The object acted on is a probability measure on configurations, specified by a Hamiltonian, and nothing is dropped by inspection: the couplings that vanish do so because they contract at a rate given by an eigenvalue of the linearized map. Philip Warren Anderson's argument of 1972 that the science of one level is not the applied science of the level below has here a case where the passage between levels is written down and the loss along it quantified.</w:t>
      </w:r>
    </w:p>
    <w:p>
      <w:r>
        <w:rPr>
          <w:i w:val="0"/>
        </w:rPr>
        <w:t xml:space="preserve">The resemblance to representation learning is real, and it is a resemblance of form, not of theorem. A trained network also maps a high-dimensional input onto a description with far fewer effective directions, and most of the variation in its input has no influence on its output. The differences are as sharp. The renormalization group's contraction is fixed by the Hamiltonian and the geometry, is the same for every sample drawn from the measure, and composes: coarse-graining twice by </w:t>
      </w:r>
      <m:oMath>
        <m:r>
          <m:t>2</m:t>
        </m:r>
      </m:oMath>
      <w:r>
        <w:rPr>
          <w:i w:val="0"/>
        </w:rPr>
        <w:t xml:space="preserve"> is coarse-graining once by </w:t>
      </w:r>
      <m:oMath>
        <m:r>
          <m:t>4</m:t>
        </m:r>
      </m:oMath>
      <w:r>
        <w:rPr>
          <w:i w:val="0"/>
        </w:rPr>
        <w:t>. A network's contraction is fixed by an objective, so what survives is whatever reduces the loss, and there is no composition law and no fixed point guaranteed to exist. The two words that sound alike mean different things. A coupling is irrelevant when its eigenvalue is negative. A datum is uninformative when it fails to change a posterior. Neither notion implies the other.</w:t>
      </w:r>
    </w:p>
    <w:p>
      <w:r>
        <w:rPr>
          <w:i w:val="0"/>
        </w:rPr>
        <w:t xml:space="preserve">Which leaves the question the next chapters have to answer. If the critical behaviour of the two-dimensional Ising model is controlled by a fixed point with two relevant directions, and every microscopic detail of the lattice contracts away, then a classifier fed raw Monte Carlo configurations of that lattice is being handed almost entirely the part that the flow destroys. It sees one sample at a time and never a Hamiltonian, so whatever it computes is a functional of a single configuration, while relevance is a property of a map on measures. It nonetheless returns something close to Onsager's temperature, and sometimes something close to </w:t>
      </w:r>
      <m:oMath>
        <m:r>
          <m:t>ν</m:t>
        </m:r>
      </m:oMath>
      <w:r>
        <w:rPr>
          <w:i w:val="0"/>
        </w:rPr>
        <w:t>. Knowing which universality class the model belongs to does not tell us which functional that is.</w:t>
      </w:r>
    </w:p>
    <w:p>
      <w:pPr>
        <w:pStyle w:val="Heading1"/>
      </w:pPr>
      <w:r>
        <w:t>References</w:t>
      </w:r>
    </w:p>
    <w:p>
      <w:pPr>
        <w:spacing w:before="120" w:after="0"/>
        <w:ind w:firstLine="0"/>
      </w:pPr>
      <w:r>
        <w:rPr>
          <w:i w:val="0"/>
        </w:rPr>
        <w:t xml:space="preserve">Aizenman (1981). Physical Review Letters 47(1), 1-4 (6 July 1981). </w:t>
      </w:r>
      <w:hyperlink r:id="rId51">
        <w:r>
          <w:rPr>
            <w:rStyle w:val="Hyperlink"/>
          </w:rPr>
          <w:t xml:space="preserve">https://doi.org/10.1103/PhysRevLett.47.1</w:t>
        </w:r>
      </w:hyperlink>
    </w:p>
    <w:p>
      <w:pPr>
        <w:spacing w:before="120" w:after="0"/>
        <w:ind w:firstLine="0"/>
      </w:pPr>
      <w:r>
        <w:rPr>
          <w:i w:val="0"/>
        </w:rPr>
        <w:t xml:space="preserve">Anderson (1972). More Is Different: Broken symmetry and the nature of the hierarchical structure of science. Science 177(4047), 393-396. </w:t>
      </w:r>
      <w:hyperlink r:id="rId63">
        <w:r>
          <w:rPr>
            <w:rStyle w:val="Hyperlink"/>
          </w:rPr>
          <w:t xml:space="preserve">https://doi.org/10.1126/science.177.4047.393</w:t>
        </w:r>
      </w:hyperlink>
    </w:p>
    <w:p>
      <w:pPr>
        <w:spacing w:before="120" w:after="0"/>
        <w:ind w:firstLine="0"/>
      </w:pPr>
      <w:r>
        <w:rPr>
          <w:i w:val="0"/>
        </w:rPr>
        <w:t xml:space="preserve">Cahn, Hilliard (1958). Free Energy of a Nonuniform System. I. Interfacial Free Energy. The Journal of Chemical Physics 28(2), 258-267. </w:t>
      </w:r>
      <w:hyperlink r:id="rId39">
        <w:r>
          <w:rPr>
            <w:rStyle w:val="Hyperlink"/>
          </w:rPr>
          <w:t xml:space="preserve">https://doi.org/10.1063/1.1744102</w:t>
        </w:r>
      </w:hyperlink>
    </w:p>
    <w:p>
      <w:pPr>
        <w:spacing w:before="120" w:after="0"/>
        <w:ind w:firstLine="0"/>
      </w:pPr>
      <w:r>
        <w:rPr>
          <w:i w:val="0"/>
        </w:rPr>
        <w:t xml:space="preserve">El-Showk, Paulos, Poland, Rychkov, Simmons-Duffin, Vichi (2014). Solving the 3d Ising Model with the Conformal Bootstrap II. c-Minimization and Precise Critical Exponents. Journal of Statistical Physics 157, 869-914. </w:t>
      </w:r>
      <w:hyperlink r:id="rId64">
        <w:r>
          <w:rPr>
            <w:rStyle w:val="Hyperlink"/>
          </w:rPr>
          <w:t xml:space="preserve">https://doi.org/10.1007/s10955-014-1042-7</w:t>
        </w:r>
      </w:hyperlink>
    </w:p>
    <w:p>
      <w:pPr>
        <w:spacing w:before="120" w:after="0"/>
        <w:ind w:firstLine="0"/>
      </w:pPr>
      <w:r>
        <w:rPr>
          <w:i w:val="0"/>
        </w:rPr>
        <w:t xml:space="preserve">Essam, Fisher (1963). Pade Approximant Studies of the Lattice Gas and Ising Ferromagnet below the Critical Point. The Journal of Chemical Physics 38(4), 802-812. </w:t>
      </w:r>
      <w:hyperlink r:id="rId65">
        <w:r>
          <w:rPr>
            <w:rStyle w:val="Hyperlink"/>
          </w:rPr>
          <w:t xml:space="preserve">https://doi.org/10.1063/1.1733766</w:t>
        </w:r>
      </w:hyperlink>
    </w:p>
    <w:p>
      <w:pPr>
        <w:spacing w:before="120" w:after="0"/>
        <w:ind w:firstLine="0"/>
      </w:pPr>
      <w:r>
        <w:rPr>
          <w:i w:val="0"/>
        </w:rPr>
        <w:t xml:space="preserve">Fisher (1964). Journal of Mathematical Physics 5(7), 944-962 (July 1964). </w:t>
      </w:r>
      <w:hyperlink r:id="rId66">
        <w:r>
          <w:rPr>
            <w:rStyle w:val="Hyperlink"/>
          </w:rPr>
          <w:t xml:space="preserve">https://doi.org/10.1063/1.1704197</w:t>
        </w:r>
      </w:hyperlink>
    </w:p>
    <w:p>
      <w:pPr>
        <w:spacing w:before="120" w:after="0"/>
        <w:ind w:firstLine="0"/>
      </w:pPr>
      <w:r>
        <w:rPr>
          <w:i w:val="0"/>
        </w:rPr>
        <w:t xml:space="preserve">Fisher (1974). The renormalization group in the theory of critical behavior. Reviews of Modern Physics 46(4), 597-616. </w:t>
      </w:r>
      <w:hyperlink r:id="rId50">
        <w:r>
          <w:rPr>
            <w:rStyle w:val="Hyperlink"/>
          </w:rPr>
          <w:t xml:space="preserve">https://doi.org/10.1103/RevModPhys.46.597</w:t>
        </w:r>
      </w:hyperlink>
    </w:p>
    <w:p>
      <w:pPr>
        <w:spacing w:before="120" w:after="0"/>
        <w:ind w:firstLine="0"/>
      </w:pPr>
      <w:r>
        <w:rPr>
          <w:i w:val="0"/>
        </w:rPr>
        <w:t xml:space="preserve">Fisher (1998). Reviews of Modern Physics 70(2), 653-681 (April 1998). </w:t>
      </w:r>
      <w:hyperlink r:id="rId67">
        <w:r>
          <w:rPr>
            <w:rStyle w:val="Hyperlink"/>
          </w:rPr>
          <w:t xml:space="preserve">https://doi.org/10.1103/RevModPhys.70.653</w:t>
        </w:r>
      </w:hyperlink>
    </w:p>
    <w:p>
      <w:pPr>
        <w:spacing w:before="120" w:after="0"/>
        <w:ind w:firstLine="0"/>
      </w:pPr>
      <w:r>
        <w:rPr>
          <w:i w:val="0"/>
        </w:rPr>
        <w:t xml:space="preserve">Griffiths (1965). Thermodynamic Inequality Near the Critical Point for Ferromagnets and Fluids. Physical Review Letters 14, 623-624. </w:t>
      </w:r>
      <w:hyperlink r:id="rId68">
        <w:r>
          <w:rPr>
            <w:rStyle w:val="Hyperlink"/>
          </w:rPr>
          <w:t xml:space="preserve">https://doi.org/10.1103/PhysRevLett.14.623</w:t>
        </w:r>
      </w:hyperlink>
    </w:p>
    <w:p>
      <w:pPr>
        <w:spacing w:before="120" w:after="0"/>
        <w:ind w:firstLine="0"/>
      </w:pPr>
      <w:r>
        <w:rPr>
          <w:i w:val="0"/>
        </w:rPr>
        <w:t xml:space="preserve">Guggenheim (1945). The Principle of Corresponding States. The Journal of Chemical Physics 13(7), 253-261. </w:t>
      </w:r>
      <w:hyperlink r:id="rId35">
        <w:r>
          <w:rPr>
            <w:rStyle w:val="Hyperlink"/>
          </w:rPr>
          <w:t xml:space="preserve">https://doi.org/10.1063/1.1724033</w:t>
        </w:r>
      </w:hyperlink>
    </w:p>
    <w:p>
      <w:pPr>
        <w:spacing w:before="120" w:after="0"/>
        <w:ind w:firstLine="0"/>
      </w:pPr>
      <w:r>
        <w:rPr>
          <w:i w:val="0"/>
        </w:rPr>
        <w:t xml:space="preserve">Hasenbusch (2010). Finite Size Scaling Study of Lattice Models in the Three-Dimensional Ising Universality Class. Physical Review B 82, 174433. </w:t>
      </w:r>
      <w:hyperlink r:id="rId69">
        <w:r>
          <w:rPr>
            <w:rStyle w:val="Hyperlink"/>
          </w:rPr>
          <w:t xml:space="preserve">https://arxiv.org/abs/1004.4486</w:t>
        </w:r>
      </w:hyperlink>
    </w:p>
    <w:p>
      <w:pPr>
        <w:spacing w:before="120" w:after="0"/>
        <w:ind w:firstLine="0"/>
      </w:pPr>
      <w:r>
        <w:rPr>
          <w:i w:val="0"/>
        </w:rPr>
        <w:t xml:space="preserve">Ising (1925). Beitrag zur Theorie des Ferromagnetismus. Zeitschrift fuer Physik 31, 253-258. </w:t>
      </w:r>
      <w:hyperlink r:id="rId32">
        <w:r>
          <w:rPr>
            <w:rStyle w:val="Hyperlink"/>
          </w:rPr>
          <w:t xml:space="preserve">https://doi.org/10.1007/BF02980577</w:t>
        </w:r>
      </w:hyperlink>
    </w:p>
    <w:p>
      <w:pPr>
        <w:spacing w:before="120" w:after="0"/>
        <w:ind w:firstLine="0"/>
      </w:pPr>
      <w:r>
        <w:rPr>
          <w:i w:val="0"/>
        </w:rPr>
        <w:t xml:space="preserve">Josephson (1967). Inequality for the specific heat: I. Derivation; II. Application to critical phenomena. Proceedings of the Physical Society 92(2), 269-275 (Part I) and 276-284 (Part II). </w:t>
      </w:r>
      <w:hyperlink r:id="rId70">
        <w:r>
          <w:rPr>
            <w:rStyle w:val="Hyperlink"/>
          </w:rPr>
          <w:t xml:space="preserve">https://doi.org/10.1088/0370-1328/92/2/301</w:t>
        </w:r>
      </w:hyperlink>
    </w:p>
    <w:p>
      <w:pPr>
        <w:spacing w:before="120" w:after="0"/>
        <w:ind w:firstLine="0"/>
      </w:pPr>
      <w:r>
        <w:rPr>
          <w:i w:val="0"/>
        </w:rPr>
        <w:t xml:space="preserve">Kadanoff (1966). Scaling laws for Ising models near T_c. Physics Physique Fizika 2(6), 263-272. </w:t>
      </w:r>
      <w:hyperlink r:id="rId45">
        <w:r>
          <w:rPr>
            <w:rStyle w:val="Hyperlink"/>
          </w:rPr>
          <w:t xml:space="preserve">https://doi.org/10.1103/PhysicsPhysiqueFizika.2.263</w:t>
        </w:r>
      </w:hyperlink>
    </w:p>
    <w:p>
      <w:pPr>
        <w:spacing w:before="120" w:after="0"/>
        <w:ind w:firstLine="0"/>
      </w:pPr>
      <w:r>
        <w:rPr>
          <w:i w:val="0"/>
        </w:rPr>
        <w:t xml:space="preserve">Onsager (1944). Crystal Statistics. I. A Two-Dimensional Model with an Order-Disorder Transition. Physical Review 65, 117-149. </w:t>
      </w:r>
      <w:hyperlink r:id="rId34">
        <w:r>
          <w:rPr>
            <w:rStyle w:val="Hyperlink"/>
          </w:rPr>
          <w:t xml:space="preserve">https://doi.org/10.1103/PhysRev.65.117</w:t>
        </w:r>
      </w:hyperlink>
    </w:p>
    <w:p>
      <w:pPr>
        <w:spacing w:before="120" w:after="0"/>
        <w:ind w:firstLine="0"/>
      </w:pPr>
      <w:r>
        <w:rPr>
          <w:i w:val="0"/>
        </w:rPr>
        <w:t xml:space="preserve">Peierls (1936). On Ising's model of ferromagnetism. Mathematical Proceedings of the Cambridge Philosophical Society 32(3), 477-481. </w:t>
      </w:r>
      <w:hyperlink r:id="rId33">
        <w:r>
          <w:rPr>
            <w:rStyle w:val="Hyperlink"/>
          </w:rPr>
          <w:t xml:space="preserve">https://doi.org/10.1017/S0305004100019174</w:t>
        </w:r>
      </w:hyperlink>
    </w:p>
    <w:p>
      <w:pPr>
        <w:spacing w:before="120" w:after="0"/>
        <w:ind w:firstLine="0"/>
      </w:pPr>
      <w:r>
        <w:rPr>
          <w:i w:val="0"/>
        </w:rPr>
        <w:t xml:space="preserve">Pelissetto, Vicari (2002). Physics Reports 368(6), 549-727 (2002). </w:t>
      </w:r>
      <w:hyperlink r:id="rId71">
        <w:r>
          <w:rPr>
            <w:rStyle w:val="Hyperlink"/>
          </w:rPr>
          <w:t xml:space="preserve">https://doi.org/10.1016/S0370-1573(02</w:t>
        </w:r>
      </w:hyperlink>
      <w:r>
        <w:rPr>
          <w:i w:val="0"/>
        </w:rPr>
        <w:t>)00219-3</w:t>
      </w:r>
    </w:p>
    <w:p>
      <w:pPr>
        <w:spacing w:before="120" w:after="0"/>
        <w:ind w:firstLine="0"/>
      </w:pPr>
      <w:r>
        <w:rPr>
          <w:i w:val="0"/>
        </w:rPr>
        <w:t xml:space="preserve">Rushbrooke (1963). On the Thermodynamics of the Critical Region for the Ising Problem. The Journal of Chemical Physics 39(3), 842-843. </w:t>
      </w:r>
      <w:hyperlink r:id="rId42">
        <w:r>
          <w:rPr>
            <w:rStyle w:val="Hyperlink"/>
          </w:rPr>
          <w:t xml:space="preserve">https://doi.org/10.1063/1.1734338</w:t>
        </w:r>
      </w:hyperlink>
    </w:p>
    <w:p>
      <w:pPr>
        <w:spacing w:before="120" w:after="0"/>
        <w:ind w:firstLine="0"/>
      </w:pPr>
      <w:r>
        <w:rPr>
          <w:i w:val="0"/>
        </w:rPr>
        <w:t xml:space="preserve">Wegner (1972). Physical Review B 5(11), 4529-4536 (1 June 1972). </w:t>
      </w:r>
      <w:hyperlink r:id="rId72">
        <w:r>
          <w:rPr>
            <w:rStyle w:val="Hyperlink"/>
          </w:rPr>
          <w:t xml:space="preserve">https://doi.org/10.1103/PhysRevB.5.4529</w:t>
        </w:r>
      </w:hyperlink>
    </w:p>
    <w:p>
      <w:pPr>
        <w:spacing w:before="120" w:after="0"/>
        <w:ind w:firstLine="0"/>
      </w:pPr>
      <w:r>
        <w:rPr>
          <w:i w:val="0"/>
        </w:rPr>
        <w:t xml:space="preserve">Widom (1965). Equation of State in the Neighborhood of the Critical Point. The Journal of Chemical Physics 43(11), 3898-3905. </w:t>
      </w:r>
      <w:hyperlink r:id="rId44">
        <w:r>
          <w:rPr>
            <w:rStyle w:val="Hyperlink"/>
          </w:rPr>
          <w:t xml:space="preserve">https://doi.org/10.1063/1.1696618</w:t>
        </w:r>
      </w:hyperlink>
    </w:p>
    <w:p>
      <w:pPr>
        <w:spacing w:before="120" w:after="0"/>
        <w:ind w:firstLine="0"/>
      </w:pPr>
      <w:r>
        <w:rPr>
          <w:i w:val="0"/>
        </w:rPr>
        <w:t xml:space="preserve">Widom (1965). Surface Tension and Molecular Correlations near the Critical Point. The Journal of Chemical Physics 43(11), 3892-3897. </w:t>
      </w:r>
      <w:hyperlink r:id="rId73">
        <w:r>
          <w:rPr>
            <w:rStyle w:val="Hyperlink"/>
          </w:rPr>
          <w:t xml:space="preserve">https://doi.org/10.1063/1.1696617</w:t>
        </w:r>
      </w:hyperlink>
    </w:p>
    <w:p>
      <w:pPr>
        <w:spacing w:before="120" w:after="0"/>
        <w:ind w:firstLine="0"/>
      </w:pPr>
      <w:r>
        <w:rPr>
          <w:i w:val="0"/>
        </w:rPr>
        <w:t xml:space="preserve">Wilson (1971). Renormalization Group and Critical Phenomena. I. Renormalization Group and the Kadanoff Scaling Picture. Physical Review B 4(9), 3174-3183 (1 November 1971). </w:t>
      </w:r>
      <w:hyperlink r:id="rId47">
        <w:r>
          <w:rPr>
            <w:rStyle w:val="Hyperlink"/>
          </w:rPr>
          <w:t xml:space="preserve">https://doi.org/10.1103/PhysRevB.4.3174</w:t>
        </w:r>
      </w:hyperlink>
    </w:p>
    <w:p>
      <w:pPr>
        <w:spacing w:before="120" w:after="0"/>
        <w:ind w:firstLine="0"/>
      </w:pPr>
      <w:r>
        <w:rPr>
          <w:i w:val="0"/>
        </w:rPr>
        <w:t xml:space="preserve">Wilson (1971). Renormalization Group and Critical Phenomena. II. Phase-Space Cell Analysis of Critical Behavior. Physical Review B 4(9), 3184-3205 (1 November 1971). </w:t>
      </w:r>
      <w:hyperlink r:id="rId74">
        <w:r>
          <w:rPr>
            <w:rStyle w:val="Hyperlink"/>
          </w:rPr>
          <w:t xml:space="preserve">https://doi.org/10.1103/PhysRevB.4.3184</w:t>
        </w:r>
      </w:hyperlink>
    </w:p>
    <w:p>
      <w:pPr>
        <w:spacing w:before="120" w:after="0"/>
        <w:ind w:firstLine="0"/>
      </w:pPr>
      <w:r>
        <w:rPr>
          <w:i w:val="0"/>
        </w:rPr>
        <w:t xml:space="preserve">Wilson (1982). Nobel Prize in Physics, Royal Swedish Academy of Sciences. </w:t>
      </w:r>
      <w:hyperlink r:id="rId75">
        <w:r>
          <w:rPr>
            <w:rStyle w:val="Hyperlink"/>
          </w:rPr>
          <w:t xml:space="preserve">https://www.nobelprize.org/prizes/physics/1982/summary/</w:t>
        </w:r>
      </w:hyperlink>
    </w:p>
    <w:p>
      <w:pPr>
        <w:spacing w:before="120" w:after="0"/>
        <w:ind w:firstLine="0"/>
      </w:pPr>
      <w:r>
        <w:rPr>
          <w:i w:val="0"/>
        </w:rPr>
        <w:t xml:space="preserve">Wilson, Fisher (1972). Critical Exponents in 3.99 Dimensions. Physical Review Letters 28(4), 240-243. </w:t>
      </w:r>
      <w:hyperlink r:id="rId48">
        <w:r>
          <w:rPr>
            <w:rStyle w:val="Hyperlink"/>
          </w:rPr>
          <w:t xml:space="preserve">https://doi.org/10.1103/PhysRevLett.28.240</w:t>
        </w:r>
      </w:hyperlink>
    </w:p>
    <w:p>
      <w:pPr>
        <w:spacing w:before="120" w:after="0"/>
        <w:ind w:firstLine="0"/>
      </w:pPr>
      <w:r>
        <w:rPr>
          <w:i w:val="0"/>
        </w:rPr>
        <w:t xml:space="preserve">Wilson, Kogut (1974). Physics Reports 12(2), 75-199 (1974). </w:t>
      </w:r>
      <w:hyperlink r:id="rId76">
        <w:r>
          <w:rPr>
            <w:rStyle w:val="Hyperlink"/>
          </w:rPr>
          <w:t xml:space="preserve">https://doi.org/10.1016/0370-1573(74</w:t>
        </w:r>
      </w:hyperlink>
      <w:r>
        <w:rPr>
          <w:i w:val="0"/>
        </w:rPr>
        <w:t>)90023-4</w:t>
      </w:r>
    </w:p>
    <w:p>
      <w:pPr>
        <w:spacing w:before="120" w:after="0"/>
        <w:ind w:firstLine="0"/>
      </w:pPr>
      <w:r>
        <w:rPr>
          <w:i w:val="0"/>
        </w:rPr>
        <w:t xml:space="preserve">Yang (1952). The Spontaneous Magnetization of a Two-Dimensional Ising Model. Physical Review 85(5), 808-816. </w:t>
      </w:r>
      <w:hyperlink r:id="rId36">
        <w:r>
          <w:rPr>
            <w:rStyle w:val="Hyperlink"/>
          </w:rPr>
          <w:t xml:space="preserve">https://doi.org/10.1103/PhysRev.85.808</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26/science.177.4047.393" TargetMode="External"/><Relationship Id="rId64" Type="http://schemas.openxmlformats.org/officeDocument/2006/relationships/hyperlink" Target="https://doi.org/10.1007/s10955-014-1042-7" TargetMode="External"/><Relationship Id="rId65" Type="http://schemas.openxmlformats.org/officeDocument/2006/relationships/hyperlink" Target="https://doi.org/10.1063/1.1733766" TargetMode="External"/><Relationship Id="rId66" Type="http://schemas.openxmlformats.org/officeDocument/2006/relationships/hyperlink" Target="https://doi.org/10.1063/1.1704197" TargetMode="External"/><Relationship Id="rId67" Type="http://schemas.openxmlformats.org/officeDocument/2006/relationships/hyperlink" Target="https://doi.org/10.1103/RevModPhys.70.653" TargetMode="External"/><Relationship Id="rId68" Type="http://schemas.openxmlformats.org/officeDocument/2006/relationships/hyperlink" Target="https://doi.org/10.1103/PhysRevLett.14.623" TargetMode="External"/><Relationship Id="rId69" Type="http://schemas.openxmlformats.org/officeDocument/2006/relationships/hyperlink" Target="https://arxiv.org/abs/1004.4486" TargetMode="External"/><Relationship Id="rId70" Type="http://schemas.openxmlformats.org/officeDocument/2006/relationships/hyperlink" Target="https://doi.org/10.1088/0370-1328/92/2/301" TargetMode="External"/><Relationship Id="rId71" Type="http://schemas.openxmlformats.org/officeDocument/2006/relationships/hyperlink" Target="https://doi.org/10.1016/S0370-1573(02" TargetMode="External"/><Relationship Id="rId72" Type="http://schemas.openxmlformats.org/officeDocument/2006/relationships/hyperlink" Target="https://doi.org/10.1103/PhysRevB.5.4529" TargetMode="External"/><Relationship Id="rId73" Type="http://schemas.openxmlformats.org/officeDocument/2006/relationships/hyperlink" Target="https://doi.org/10.1063/1.1696617" TargetMode="External"/><Relationship Id="rId74" Type="http://schemas.openxmlformats.org/officeDocument/2006/relationships/hyperlink" Target="https://doi.org/10.1103/PhysRevB.4.3184" TargetMode="External"/><Relationship Id="rId75" Type="http://schemas.openxmlformats.org/officeDocument/2006/relationships/hyperlink" Target="https://www.nobelprize.org/prizes/physics/1982/summary/" TargetMode="External"/><Relationship Id="rId76" Type="http://schemas.openxmlformats.org/officeDocument/2006/relationships/hyperlink" Target="https://doi.org/10.1016/0370-1573(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